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8"/>
        <w:keepNext w:val="0"/>
        <w:keepLines w:val="0"/>
        <w:widowControl/>
        <w:suppressLineNumbers w:val="0"/>
        <w:spacing w:before="0" w:beforeAutospacing="0" w:after="0" w:afterAutospacing="0"/>
        <w:ind w:left="0" w:right="0" w:firstLine="0"/>
        <w:rPr>
          <w:rFonts w:ascii="Times New Roman" w:hAnsi="Times New Roman" w:eastAsia="仿宋_GB2312" w:cs="Times New Roman"/>
          <w:bCs/>
          <w:color w:val="000000"/>
          <w:kern w:val="2"/>
          <w:sz w:val="32"/>
          <w:szCs w:val="32"/>
          <w:highlight w:val="none"/>
          <w:lang w:bidi="ar-SA"/>
        </w:rPr>
      </w:pPr>
      <w:bookmarkStart w:id="2" w:name="_GoBack"/>
      <w:bookmarkEnd w:id="2"/>
      <w:r>
        <w:rPr>
          <w:rFonts w:ascii="Times New Roman" w:hAnsi="Times New Roman" w:eastAsia="仿宋_GB2312" w:cs="Times New Roman"/>
          <w:bCs/>
          <w:color w:val="000000"/>
          <w:kern w:val="2"/>
          <w:sz w:val="32"/>
          <w:szCs w:val="32"/>
          <w:highlight w:val="none"/>
          <w:lang w:bidi="ar-SA"/>
        </w:rPr>
        <w:t>附件</w:t>
      </w:r>
    </w:p>
    <w:p>
      <w:pPr>
        <w:keepNext w:val="0"/>
        <w:keepLines w:val="0"/>
        <w:pageBreakBefore w:val="0"/>
        <w:widowControl w:val="0"/>
        <w:kinsoku/>
        <w:wordWrap/>
        <w:overflowPunct/>
        <w:topLinePunct w:val="0"/>
        <w:autoSpaceDE/>
        <w:autoSpaceDN/>
        <w:bidi w:val="0"/>
        <w:adjustRightInd/>
        <w:snapToGrid/>
        <w:spacing w:line="600" w:lineRule="exact"/>
        <w:ind w:firstLine="400" w:firstLineChars="100"/>
        <w:jc w:val="center"/>
        <w:textAlignment w:val="auto"/>
        <w:rPr>
          <w:rFonts w:hint="eastAsia" w:ascii="Times New Roman" w:hAnsi="Times New Roman" w:eastAsia="方正小标宋简体" w:cs="方正小标宋简体"/>
          <w:bCs/>
          <w:color w:val="000000"/>
          <w:sz w:val="40"/>
          <w:szCs w:val="40"/>
          <w:highlight w:val="none"/>
        </w:rPr>
      </w:pPr>
      <w:r>
        <w:rPr>
          <w:rFonts w:hint="eastAsia" w:ascii="Times New Roman" w:hAnsi="Times New Roman" w:eastAsia="方正小标宋简体" w:cs="方正小标宋简体"/>
          <w:bCs/>
          <w:color w:val="000000"/>
          <w:sz w:val="40"/>
          <w:szCs w:val="40"/>
          <w:highlight w:val="none"/>
          <w:lang w:eastAsia="zh-CN"/>
        </w:rPr>
        <w:t>广东</w:t>
      </w:r>
      <w:r>
        <w:rPr>
          <w:rFonts w:hint="eastAsia" w:ascii="Times New Roman" w:hAnsi="Times New Roman" w:eastAsia="方正小标宋简体" w:cs="方正小标宋简体"/>
          <w:bCs/>
          <w:color w:val="000000"/>
          <w:sz w:val="40"/>
          <w:szCs w:val="40"/>
          <w:highlight w:val="none"/>
        </w:rPr>
        <w:t>省基本医保</w:t>
      </w:r>
      <w:r>
        <w:rPr>
          <w:rFonts w:hint="eastAsia" w:ascii="Times New Roman" w:hAnsi="Times New Roman" w:eastAsia="方正小标宋简体" w:cs="方正小标宋简体"/>
          <w:bCs/>
          <w:color w:val="000000"/>
          <w:sz w:val="40"/>
          <w:szCs w:val="40"/>
          <w:highlight w:val="none"/>
          <w:lang w:val="en-US" w:eastAsia="zh-CN"/>
        </w:rPr>
        <w:t>定点</w:t>
      </w:r>
      <w:r>
        <w:rPr>
          <w:rFonts w:hint="eastAsia" w:ascii="Times New Roman" w:hAnsi="Times New Roman" w:eastAsia="方正小标宋简体" w:cs="方正小标宋简体"/>
          <w:bCs/>
          <w:color w:val="000000"/>
          <w:sz w:val="40"/>
          <w:szCs w:val="40"/>
          <w:highlight w:val="none"/>
        </w:rPr>
        <w:t>医药</w:t>
      </w:r>
      <w:r>
        <w:rPr>
          <w:rFonts w:hint="eastAsia" w:ascii="Times New Roman" w:hAnsi="Times New Roman" w:eastAsia="方正小标宋简体" w:cs="方正小标宋简体"/>
          <w:bCs/>
          <w:color w:val="000000"/>
          <w:sz w:val="40"/>
          <w:szCs w:val="40"/>
          <w:highlight w:val="none"/>
          <w:lang w:val="en-US" w:eastAsia="zh-CN"/>
        </w:rPr>
        <w:t>机构</w:t>
      </w:r>
      <w:r>
        <w:rPr>
          <w:rFonts w:hint="eastAsia" w:ascii="Times New Roman" w:hAnsi="Times New Roman" w:eastAsia="方正小标宋简体" w:cs="方正小标宋简体"/>
          <w:bCs/>
          <w:color w:val="000000"/>
          <w:sz w:val="40"/>
          <w:szCs w:val="40"/>
          <w:highlight w:val="none"/>
        </w:rPr>
        <w:t>资源</w:t>
      </w:r>
    </w:p>
    <w:p>
      <w:pPr>
        <w:keepNext w:val="0"/>
        <w:keepLines w:val="0"/>
        <w:pageBreakBefore w:val="0"/>
        <w:widowControl w:val="0"/>
        <w:kinsoku/>
        <w:wordWrap/>
        <w:overflowPunct/>
        <w:topLinePunct w:val="0"/>
        <w:autoSpaceDE/>
        <w:autoSpaceDN/>
        <w:bidi w:val="0"/>
        <w:adjustRightInd/>
        <w:snapToGrid/>
        <w:spacing w:line="600" w:lineRule="exact"/>
        <w:ind w:firstLine="400" w:firstLineChars="100"/>
        <w:jc w:val="center"/>
        <w:textAlignment w:val="auto"/>
        <w:rPr>
          <w:rFonts w:ascii="Times New Roman" w:hAnsi="Times New Roman" w:eastAsia="方正小标宋简体" w:cs="方正小标宋简体"/>
          <w:bCs/>
          <w:color w:val="000000"/>
          <w:sz w:val="40"/>
          <w:szCs w:val="40"/>
          <w:highlight w:val="none"/>
        </w:rPr>
      </w:pPr>
      <w:r>
        <w:rPr>
          <w:rFonts w:hint="eastAsia" w:ascii="Times New Roman" w:hAnsi="Times New Roman" w:eastAsia="方正小标宋简体" w:cs="方正小标宋简体"/>
          <w:bCs/>
          <w:color w:val="000000"/>
          <w:sz w:val="40"/>
          <w:szCs w:val="40"/>
          <w:highlight w:val="none"/>
        </w:rPr>
        <w:t>配置测算参考</w:t>
      </w:r>
    </w:p>
    <w:p>
      <w:pPr>
        <w:keepNext w:val="0"/>
        <w:keepLines w:val="0"/>
        <w:pageBreakBefore w:val="0"/>
        <w:widowControl w:val="0"/>
        <w:kinsoku/>
        <w:wordWrap/>
        <w:overflowPunct/>
        <w:topLinePunct w:val="0"/>
        <w:autoSpaceDE/>
        <w:autoSpaceDN/>
        <w:bidi w:val="0"/>
        <w:adjustRightInd/>
        <w:snapToGrid/>
        <w:spacing w:line="420" w:lineRule="exact"/>
        <w:textAlignment w:val="auto"/>
        <w:rPr>
          <w:rFonts w:ascii="Times New Roman" w:hAnsi="Times New Roman" w:eastAsia="仿宋_GB2312" w:cs="仿宋_GB2312"/>
          <w:bCs/>
          <w:color w:val="000000"/>
          <w:sz w:val="32"/>
          <w:szCs w:val="32"/>
          <w:highlight w:val="none"/>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Times New Roman" w:hAnsi="Times New Roman" w:eastAsia="黑体" w:cs="黑体"/>
          <w:bCs/>
          <w:color w:val="000000"/>
          <w:sz w:val="32"/>
          <w:szCs w:val="32"/>
          <w:highlight w:val="none"/>
        </w:rPr>
      </w:pPr>
      <w:r>
        <w:rPr>
          <w:rFonts w:hint="eastAsia" w:ascii="Times New Roman" w:hAnsi="Times New Roman" w:eastAsia="黑体" w:cs="黑体"/>
          <w:bCs/>
          <w:color w:val="000000"/>
          <w:sz w:val="32"/>
          <w:szCs w:val="32"/>
          <w:highlight w:val="none"/>
        </w:rPr>
        <w:t>一、基本医保定点床位配置</w:t>
      </w:r>
    </w:p>
    <w:p>
      <w:pPr>
        <w:keepNext w:val="0"/>
        <w:keepLines w:val="0"/>
        <w:pageBreakBefore w:val="0"/>
        <w:widowControl w:val="0"/>
        <w:kinsoku/>
        <w:wordWrap/>
        <w:overflowPunct/>
        <w:topLinePunct w:val="0"/>
        <w:autoSpaceDE/>
        <w:autoSpaceDN/>
        <w:bidi w:val="0"/>
        <w:adjustRightInd/>
        <w:snapToGrid/>
        <w:spacing w:line="600" w:lineRule="exact"/>
        <w:ind w:firstLine="640"/>
        <w:jc w:val="both"/>
        <w:textAlignment w:val="auto"/>
        <w:rPr>
          <w:rFonts w:hint="default" w:ascii="Times New Roman" w:hAnsi="Times New Roman" w:eastAsia="仿宋_GB2312" w:cs="Times New Roman"/>
          <w:b w:val="0"/>
          <w:bCs/>
          <w:color w:val="000000"/>
          <w:sz w:val="32"/>
          <w:szCs w:val="32"/>
          <w:highlight w:val="none"/>
          <w:lang w:val="en-US" w:eastAsia="zh-CN"/>
        </w:rPr>
      </w:pPr>
      <w:r>
        <w:rPr>
          <w:rFonts w:hint="default" w:ascii="Times New Roman" w:hAnsi="Times New Roman" w:eastAsia="仿宋_GB2312" w:cs="Times New Roman"/>
          <w:b w:val="0"/>
          <w:bCs/>
          <w:color w:val="000000"/>
          <w:sz w:val="32"/>
          <w:szCs w:val="32"/>
          <w:highlight w:val="none"/>
          <w:lang w:val="en-US" w:eastAsia="zh-CN"/>
        </w:rPr>
        <w:t>千人床位数是衡量医疗资源的主要指标，定点医疗机构资源配置管理以千人床位数为基准，通过床位数匹配医务人员、医疗设备设施、检查检验等资源。</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b w:val="0"/>
          <w:bCs/>
          <w:color w:val="000000"/>
          <w:sz w:val="32"/>
          <w:szCs w:val="32"/>
          <w:highlight w:val="none"/>
          <w:lang w:val="en-US" w:eastAsia="zh-CN"/>
        </w:rPr>
      </w:pPr>
      <w:r>
        <w:rPr>
          <w:rFonts w:hint="eastAsia" w:ascii="楷体_GB2312" w:hAnsi="楷体_GB2312" w:eastAsia="楷体_GB2312" w:cs="楷体_GB2312"/>
          <w:b w:val="0"/>
          <w:bCs/>
          <w:color w:val="000000"/>
          <w:sz w:val="32"/>
          <w:szCs w:val="32"/>
          <w:highlight w:val="none"/>
          <w:lang w:eastAsia="zh-CN"/>
        </w:rPr>
        <w:t>（</w:t>
      </w:r>
      <w:r>
        <w:rPr>
          <w:rFonts w:hint="eastAsia" w:ascii="楷体_GB2312" w:hAnsi="楷体_GB2312" w:eastAsia="楷体_GB2312" w:cs="楷体_GB2312"/>
          <w:b w:val="0"/>
          <w:bCs/>
          <w:color w:val="000000"/>
          <w:sz w:val="32"/>
          <w:szCs w:val="32"/>
          <w:highlight w:val="none"/>
          <w:lang w:val="en-US" w:eastAsia="zh-CN"/>
        </w:rPr>
        <w:t>一</w:t>
      </w:r>
      <w:r>
        <w:rPr>
          <w:rFonts w:hint="eastAsia" w:ascii="楷体_GB2312" w:hAnsi="楷体_GB2312" w:eastAsia="楷体_GB2312" w:cs="楷体_GB2312"/>
          <w:b w:val="0"/>
          <w:bCs/>
          <w:color w:val="000000"/>
          <w:sz w:val="32"/>
          <w:szCs w:val="32"/>
          <w:highlight w:val="none"/>
          <w:lang w:eastAsia="zh-CN"/>
        </w:rPr>
        <w:t>）</w:t>
      </w:r>
      <w:r>
        <w:rPr>
          <w:rFonts w:hint="eastAsia" w:ascii="楷体_GB2312" w:hAnsi="楷体_GB2312" w:eastAsia="楷体_GB2312" w:cs="楷体_GB2312"/>
          <w:b w:val="0"/>
          <w:bCs/>
          <w:color w:val="000000"/>
          <w:sz w:val="32"/>
          <w:szCs w:val="32"/>
          <w:highlight w:val="none"/>
          <w:lang w:val="en-US" w:eastAsia="zh-CN"/>
        </w:rPr>
        <w:t>计算公式</w:t>
      </w:r>
      <w:bookmarkStart w:id="0" w:name="OLE_LINK12"/>
      <w:r>
        <w:rPr>
          <w:rFonts w:hint="eastAsia" w:ascii="楷体_GB2312" w:hAnsi="楷体_GB2312" w:eastAsia="楷体_GB2312" w:cs="楷体_GB2312"/>
          <w:bCs/>
          <w:color w:val="000000"/>
          <w:sz w:val="32"/>
          <w:szCs w:val="32"/>
          <w:highlight w:val="none"/>
          <w:lang w:val="en-US" w:eastAsia="zh-CN"/>
        </w:rPr>
        <w:t>。</w:t>
      </w:r>
      <w:bookmarkEnd w:id="0"/>
      <w:r>
        <w:rPr>
          <w:rFonts w:hint="eastAsia" w:ascii="Times New Roman" w:hAnsi="Times New Roman" w:eastAsia="仿宋_GB2312" w:cs="仿宋_GB2312"/>
          <w:bCs/>
          <w:color w:val="000000"/>
          <w:sz w:val="32"/>
          <w:szCs w:val="32"/>
          <w:highlight w:val="none"/>
        </w:rPr>
        <w:t>区域住院服务需求主要取决于人口数量与年龄结构、患病率等因素，包含在住院率中。千人床位数的配置，与住院服务需求</w:t>
      </w:r>
      <w:r>
        <w:rPr>
          <w:rFonts w:hint="eastAsia" w:ascii="Times New Roman" w:hAnsi="Times New Roman" w:eastAsia="仿宋_GB2312" w:cs="仿宋_GB2312"/>
          <w:bCs/>
          <w:color w:val="000000"/>
          <w:sz w:val="32"/>
          <w:szCs w:val="32"/>
          <w:highlight w:val="none"/>
          <w:lang w:eastAsia="zh-CN"/>
        </w:rPr>
        <w:t>、</w:t>
      </w:r>
      <w:r>
        <w:rPr>
          <w:rFonts w:hint="eastAsia" w:ascii="Times New Roman" w:hAnsi="Times New Roman" w:eastAsia="仿宋_GB2312" w:cs="仿宋_GB2312"/>
          <w:bCs/>
          <w:color w:val="000000"/>
          <w:sz w:val="32"/>
          <w:szCs w:val="32"/>
          <w:highlight w:val="none"/>
        </w:rPr>
        <w:t>平均住院日呈正相关，</w:t>
      </w:r>
      <w:r>
        <w:rPr>
          <w:rFonts w:hint="eastAsia" w:ascii="Times New Roman" w:hAnsi="Times New Roman" w:eastAsia="仿宋_GB2312" w:cs="仿宋_GB2312"/>
          <w:bCs/>
          <w:color w:val="000000"/>
          <w:sz w:val="32"/>
          <w:szCs w:val="32"/>
          <w:highlight w:val="none"/>
          <w:lang w:val="en-US" w:eastAsia="zh-CN"/>
        </w:rPr>
        <w:t>与</w:t>
      </w:r>
      <w:r>
        <w:rPr>
          <w:rFonts w:hint="eastAsia" w:ascii="Times New Roman" w:hAnsi="Times New Roman" w:eastAsia="仿宋_GB2312" w:cs="仿宋_GB2312"/>
          <w:bCs/>
          <w:color w:val="000000"/>
          <w:sz w:val="32"/>
          <w:szCs w:val="32"/>
          <w:highlight w:val="none"/>
        </w:rPr>
        <w:t>床</w:t>
      </w:r>
      <w:r>
        <w:rPr>
          <w:rFonts w:hint="eastAsia" w:ascii="Times New Roman" w:hAnsi="Times New Roman" w:eastAsia="仿宋_GB2312" w:cs="仿宋_GB2312"/>
          <w:bCs/>
          <w:color w:val="000000"/>
          <w:sz w:val="32"/>
          <w:szCs w:val="32"/>
          <w:highlight w:val="none"/>
          <w:lang w:eastAsia="zh-CN"/>
        </w:rPr>
        <w:t>位</w:t>
      </w:r>
      <w:r>
        <w:rPr>
          <w:rFonts w:hint="eastAsia" w:ascii="Times New Roman" w:hAnsi="Times New Roman" w:eastAsia="仿宋_GB2312" w:cs="仿宋_GB2312"/>
          <w:bCs/>
          <w:color w:val="000000"/>
          <w:sz w:val="32"/>
          <w:szCs w:val="32"/>
          <w:highlight w:val="none"/>
        </w:rPr>
        <w:t>使用率</w:t>
      </w:r>
      <w:r>
        <w:rPr>
          <w:rFonts w:hint="default" w:ascii="Times New Roman" w:hAnsi="Times New Roman" w:eastAsia="仿宋_GB2312" w:cs="Times New Roman"/>
          <w:b w:val="0"/>
          <w:bCs/>
          <w:color w:val="000000"/>
          <w:sz w:val="32"/>
          <w:szCs w:val="32"/>
          <w:highlight w:val="none"/>
          <w:lang w:val="en-US" w:eastAsia="zh-CN"/>
        </w:rPr>
        <w:t>呈负相关。同时考虑参保群众异地就医、医保基金支付能力等因素，引入患者调节系数、基金调节系数进行计算。公式如下</w:t>
      </w:r>
      <w:r>
        <w:rPr>
          <w:rFonts w:hint="eastAsia" w:ascii="Times New Roman" w:hAnsi="Times New Roman" w:eastAsia="仿宋_GB2312" w:cs="Times New Roman"/>
          <w:b w:val="0"/>
          <w:bCs/>
          <w:color w:val="000000"/>
          <w:sz w:val="32"/>
          <w:szCs w:val="32"/>
          <w:highlight w:val="none"/>
          <w:lang w:val="en-US" w:eastAsia="zh-CN"/>
        </w:rPr>
        <w:t>：</w:t>
      </w:r>
    </w:p>
    <w:p>
      <w:pPr>
        <w:spacing w:line="600" w:lineRule="exact"/>
        <w:ind w:firstLine="0" w:firstLineChars="0"/>
        <w:rPr>
          <w:rFonts w:hint="eastAsia" w:hAnsi="DejaVu Math TeX Gyre" w:eastAsia="仿宋_GB2312" w:cs="仿宋_GB2312"/>
          <w:strike w:val="0"/>
          <w:sz w:val="21"/>
          <w:szCs w:val="21"/>
        </w:rPr>
      </w:pPr>
      <m:oMathPara>
        <m:oMath>
          <m:r>
            <m:rPr>
              <m:sty m:val="p"/>
            </m:rPr>
            <w:rPr>
              <w:rFonts w:hint="default" w:ascii="DejaVu Math TeX Gyre" w:hAnsi="DejaVu Math TeX Gyre" w:eastAsia="仿宋_GB2312" w:cs="仿宋_GB2312"/>
              <w:strike w:val="0"/>
              <w:sz w:val="21"/>
              <w:szCs w:val="21"/>
              <w:lang w:eastAsia="zh-CN"/>
            </w:rPr>
            <m:t>需要的</m:t>
          </m:r>
          <m:r>
            <m:rPr>
              <m:sty m:val="p"/>
            </m:rPr>
            <w:rPr>
              <w:rFonts w:hint="eastAsia" w:ascii="DejaVu Math TeX Gyre" w:hAnsi="DejaVu Math TeX Gyre" w:eastAsia="仿宋_GB2312" w:cs="仿宋_GB2312"/>
              <w:strike w:val="0"/>
              <w:sz w:val="21"/>
              <w:szCs w:val="21"/>
            </w:rPr>
            <m:t>千人床位数</m:t>
          </m:r>
          <m:r>
            <m:rPr>
              <m:sty m:val="p"/>
            </m:rPr>
            <w:rPr>
              <w:rFonts w:hint="default" w:ascii="DejaVu Math TeX Gyre" w:hAnsi="DejaVu Math TeX Gyre" w:eastAsia="仿宋_GB2312" w:cs="仿宋_GB2312"/>
              <w:strike w:val="0"/>
              <w:sz w:val="21"/>
              <w:szCs w:val="21"/>
            </w:rPr>
            <m:t>=</m:t>
          </m:r>
          <m:f>
            <m:fPr>
              <m:ctrlPr>
                <w:rPr>
                  <w:rFonts w:hint="eastAsia" w:ascii="DejaVu Math TeX Gyre" w:hAnsi="DejaVu Math TeX Gyre" w:eastAsia="仿宋_GB2312" w:cs="仿宋_GB2312"/>
                  <w:strike w:val="0"/>
                  <w:sz w:val="21"/>
                  <w:szCs w:val="21"/>
                </w:rPr>
              </m:ctrlPr>
            </m:fPr>
            <m:num>
              <m:nary>
                <m:naryPr>
                  <m:chr m:val="∑"/>
                  <m:limLoc m:val="undOvr"/>
                  <m:subHide m:val="1"/>
                  <m:supHide m:val="1"/>
                  <m:ctrlPr>
                    <w:rPr>
                      <w:rFonts w:hint="eastAsia" w:ascii="DejaVu Math TeX Gyre" w:hAnsi="DejaVu Math TeX Gyre" w:eastAsia="仿宋_GB2312" w:cs="仿宋_GB2312"/>
                      <w:strike w:val="0"/>
                      <w:sz w:val="21"/>
                      <w:szCs w:val="21"/>
                    </w:rPr>
                  </m:ctrlPr>
                </m:naryPr>
                <m:sub>
                  <m:ctrlPr>
                    <w:rPr>
                      <w:rFonts w:hint="eastAsia" w:ascii="DejaVu Math TeX Gyre" w:hAnsi="DejaVu Math TeX Gyre" w:eastAsia="仿宋_GB2312" w:cs="仿宋_GB2312"/>
                      <w:strike w:val="0"/>
                      <w:sz w:val="21"/>
                      <w:szCs w:val="21"/>
                    </w:rPr>
                  </m:ctrlPr>
                </m:sub>
                <m:sup>
                  <m:ctrlPr>
                    <w:rPr>
                      <w:rFonts w:hint="eastAsia" w:ascii="DejaVu Math TeX Gyre" w:hAnsi="DejaVu Math TeX Gyre" w:eastAsia="仿宋_GB2312" w:cs="仿宋_GB2312"/>
                      <w:strike w:val="0"/>
                      <w:sz w:val="21"/>
                      <w:szCs w:val="21"/>
                    </w:rPr>
                  </m:ctrlPr>
                </m:sup>
                <m:e>
                  <m:r>
                    <m:rPr>
                      <m:nor/>
                      <m:sty m:val="p"/>
                    </m:rPr>
                    <w:rPr>
                      <w:rFonts w:hint="eastAsia" w:ascii="DejaVu Math TeX Gyre" w:hAnsi="DejaVu Math TeX Gyre" w:eastAsia="仿宋_GB2312" w:cs="仿宋_GB2312"/>
                      <w:b w:val="0"/>
                      <w:i w:val="0"/>
                      <w:strike w:val="0"/>
                      <w:sz w:val="21"/>
                      <w:szCs w:val="21"/>
                    </w:rPr>
                    <m:t>(各年龄段住院率×年龄段参保人数）×平均住院日×1000</m:t>
                  </m:r>
                  <m:ctrlPr>
                    <w:rPr>
                      <w:rFonts w:hint="eastAsia" w:ascii="DejaVu Math TeX Gyre" w:hAnsi="DejaVu Math TeX Gyre" w:eastAsia="仿宋_GB2312" w:cs="仿宋_GB2312"/>
                      <w:strike w:val="0"/>
                      <w:sz w:val="21"/>
                      <w:szCs w:val="21"/>
                    </w:rPr>
                  </m:ctrlPr>
                </m:e>
              </m:nary>
              <m:ctrlPr>
                <w:rPr>
                  <w:rFonts w:hint="eastAsia" w:ascii="DejaVu Math TeX Gyre" w:hAnsi="DejaVu Math TeX Gyre" w:eastAsia="仿宋_GB2312" w:cs="仿宋_GB2312"/>
                  <w:strike w:val="0"/>
                  <w:sz w:val="21"/>
                  <w:szCs w:val="21"/>
                </w:rPr>
              </m:ctrlPr>
            </m:num>
            <m:den>
              <m:r>
                <m:rPr>
                  <m:nor/>
                  <m:sty m:val="p"/>
                </m:rPr>
                <w:rPr>
                  <w:rFonts w:hint="eastAsia" w:ascii="DejaVu Math TeX Gyre" w:hAnsi="DejaVu Math TeX Gyre" w:eastAsia="仿宋_GB2312" w:cs="仿宋_GB2312"/>
                  <w:b w:val="0"/>
                  <w:i w:val="0"/>
                  <w:strike w:val="0"/>
                  <w:sz w:val="21"/>
                  <w:szCs w:val="21"/>
                </w:rPr>
                <m:t>床</m:t>
              </m:r>
              <m:r>
                <m:rPr>
                  <m:nor/>
                  <m:sty m:val="p"/>
                </m:rPr>
                <w:rPr>
                  <w:rFonts w:hint="default" w:ascii="DejaVu Math TeX Gyre" w:hAnsi="DejaVu Math TeX Gyre" w:eastAsia="仿宋_GB2312" w:cs="仿宋_GB2312"/>
                  <w:b w:val="0"/>
                  <w:i w:val="0"/>
                  <w:strike w:val="0"/>
                  <w:sz w:val="21"/>
                  <w:szCs w:val="21"/>
                  <w:lang w:eastAsia="zh-CN"/>
                </w:rPr>
                <m:t>位</m:t>
              </m:r>
              <m:r>
                <m:rPr>
                  <m:nor/>
                  <m:sty m:val="p"/>
                </m:rPr>
                <w:rPr>
                  <w:rFonts w:hint="eastAsia" w:ascii="DejaVu Math TeX Gyre" w:hAnsi="DejaVu Math TeX Gyre" w:eastAsia="仿宋_GB2312" w:cs="仿宋_GB2312"/>
                  <w:b w:val="0"/>
                  <w:i w:val="0"/>
                  <w:strike w:val="0"/>
                  <w:sz w:val="21"/>
                  <w:szCs w:val="21"/>
                </w:rPr>
                <m:t>使用率×365×总参保人数</m:t>
              </m:r>
              <m:ctrlPr>
                <w:rPr>
                  <w:rFonts w:hint="eastAsia" w:ascii="DejaVu Math TeX Gyre" w:hAnsi="DejaVu Math TeX Gyre" w:eastAsia="仿宋_GB2312" w:cs="仿宋_GB2312"/>
                  <w:strike w:val="0"/>
                  <w:sz w:val="21"/>
                  <w:szCs w:val="21"/>
                </w:rPr>
              </m:ctrlPr>
            </m:den>
          </m:f>
        </m:oMath>
      </m:oMathPara>
    </w:p>
    <w:p>
      <w:pPr>
        <w:spacing w:line="600" w:lineRule="exact"/>
        <w:ind w:firstLine="0" w:firstLineChars="0"/>
        <w:rPr>
          <w:rFonts w:hint="eastAsia" w:ascii="仿宋_GB2312" w:hAnsi="仿宋_GB2312" w:eastAsia="仿宋_GB2312" w:cs="仿宋_GB2312"/>
          <w:strike w:val="0"/>
          <w:sz w:val="21"/>
          <w:szCs w:val="21"/>
        </w:rPr>
      </w:pPr>
      <m:oMath>
        <m:r>
          <m:rPr>
            <m:sty m:val="p"/>
          </m:rPr>
          <w:rPr>
            <w:rFonts w:hint="default" w:ascii="DejaVu Math TeX Gyre" w:hAnsi="DejaVu Math TeX Gyre" w:eastAsia="仿宋_GB2312" w:cs="仿宋_GB2312"/>
            <w:strike w:val="0"/>
            <w:sz w:val="21"/>
            <w:szCs w:val="21"/>
            <w:lang w:val="en-US" w:eastAsia="zh-CN"/>
          </w:rPr>
          <m:t xml:space="preserve">                              </m:t>
        </m:r>
        <m:r>
          <m:rPr>
            <m:sty m:val="p"/>
          </m:rPr>
          <w:rPr>
            <w:rFonts w:hint="eastAsia" w:ascii="DejaVu Math TeX Gyre" w:hAnsi="DejaVu Math TeX Gyre" w:eastAsia="仿宋_GB2312" w:cs="仿宋_GB2312"/>
            <w:strike w:val="0"/>
            <w:sz w:val="21"/>
            <w:szCs w:val="21"/>
          </w:rPr>
          <m:t>×患者</m:t>
        </m:r>
      </m:oMath>
      <w:r>
        <w:rPr>
          <w:rFonts w:hint="eastAsia" w:ascii="DejaVu Math TeX Gyre" w:hAnsi="DejaVu Math TeX Gyre" w:eastAsia="仿宋_GB2312" w:cs="仿宋_GB2312"/>
          <w:iCs w:val="0"/>
          <w:strike w:val="0"/>
          <w:sz w:val="21"/>
          <w:szCs w:val="21"/>
        </w:rPr>
        <w:t>调节系数×基金调节系数</w:t>
      </w:r>
    </w:p>
    <w:p>
      <w:pPr>
        <w:keepNext w:val="0"/>
        <w:keepLines w:val="0"/>
        <w:pageBreakBefore w:val="0"/>
        <w:widowControl/>
        <w:kinsoku/>
        <w:wordWrap/>
        <w:overflowPunct/>
        <w:topLinePunct w:val="0"/>
        <w:autoSpaceDE/>
        <w:autoSpaceDN/>
        <w:bidi w:val="0"/>
        <w:adjustRightInd/>
        <w:snapToGrid/>
        <w:spacing w:line="600" w:lineRule="exact"/>
        <w:ind w:firstLine="640" w:firstLineChars="200"/>
        <w:jc w:val="left"/>
        <w:textAlignment w:val="auto"/>
        <w:rPr>
          <w:rFonts w:hint="default" w:hAnsi="DejaVu Math TeX Gyre" w:eastAsia="仿宋_GB2312"/>
          <w:i w:val="0"/>
          <w:sz w:val="21"/>
        </w:rPr>
      </w:pPr>
      <w:r>
        <w:rPr>
          <w:rFonts w:hint="default" w:ascii="Times New Roman" w:hAnsi="Times New Roman" w:eastAsia="仿宋_GB2312" w:cs="Times New Roman"/>
          <w:bCs/>
          <w:strike w:val="0"/>
          <w:color w:val="000000"/>
          <w:sz w:val="32"/>
          <w:szCs w:val="32"/>
          <w:highlight w:val="none"/>
        </w:rPr>
        <w:t>患者调节系数</w:t>
      </w:r>
      <w:r>
        <w:rPr>
          <w:rFonts w:hint="default" w:ascii="Times New Roman" w:hAnsi="Times New Roman" w:eastAsia="仿宋_GB2312" w:cs="Times New Roman"/>
          <w:bCs/>
          <w:strike w:val="0"/>
          <w:color w:val="000000"/>
          <w:sz w:val="32"/>
          <w:szCs w:val="32"/>
          <w:highlight w:val="none"/>
          <w:lang w:val="en-US" w:eastAsia="zh-CN"/>
        </w:rPr>
        <w:t>是</w:t>
      </w:r>
      <w:r>
        <w:rPr>
          <w:rFonts w:hint="default" w:ascii="Times New Roman" w:hAnsi="Times New Roman" w:eastAsia="仿宋_GB2312" w:cs="Times New Roman"/>
          <w:bCs/>
          <w:strike w:val="0"/>
          <w:color w:val="000000"/>
          <w:sz w:val="32"/>
          <w:szCs w:val="32"/>
          <w:highlight w:val="none"/>
        </w:rPr>
        <w:t>反映患者流入流出对床位配置的影响指标，计算公式：</w:t>
      </w:r>
    </w:p>
    <w:p>
      <w:pPr>
        <w:keepNext w:val="0"/>
        <w:keepLines w:val="0"/>
        <w:pageBreakBefore w:val="0"/>
        <w:widowControl/>
        <w:kinsoku/>
        <w:wordWrap/>
        <w:overflowPunct/>
        <w:topLinePunct w:val="0"/>
        <w:autoSpaceDE/>
        <w:autoSpaceDN/>
        <w:bidi w:val="0"/>
        <w:adjustRightInd/>
        <w:snapToGrid/>
        <w:spacing w:line="600" w:lineRule="exact"/>
        <w:ind w:firstLine="420" w:firstLineChars="200"/>
        <w:jc w:val="left"/>
        <w:textAlignment w:val="auto"/>
        <w:rPr>
          <w:rFonts w:hint="default" w:hAnsi="DejaVu Math TeX Gyre" w:eastAsia="仿宋_GB2312"/>
          <w:sz w:val="21"/>
        </w:rPr>
      </w:pPr>
      <m:oMathPara>
        <m:oMathParaPr>
          <m:jc m:val="left"/>
        </m:oMathParaPr>
        <m:oMath>
          <m:r>
            <m:rPr>
              <m:sty m:val="p"/>
            </m:rPr>
            <w:rPr>
              <w:rFonts w:hint="default" w:ascii="DejaVu Math TeX Gyre" w:hAnsi="DejaVu Math TeX Gyre" w:eastAsia="仿宋_GB2312"/>
              <w:sz w:val="21"/>
              <w:lang w:val="en-US" w:eastAsia="zh-CN"/>
            </w:rPr>
            <m:t xml:space="preserve">         </m:t>
          </m:r>
          <m:r>
            <m:rPr>
              <m:sty m:val="p"/>
            </m:rPr>
            <w:rPr>
              <w:rFonts w:hint="default" w:ascii="DejaVu Math TeX Gyre" w:hAnsi="DejaVu Math TeX Gyre" w:eastAsia="仿宋_GB2312"/>
              <w:sz w:val="21"/>
            </w:rPr>
            <m:t>患者调节系数</m:t>
          </m:r>
        </m:oMath>
      </m:oMathPara>
    </w:p>
    <w:p>
      <w:pPr>
        <w:keepNext w:val="0"/>
        <w:keepLines w:val="0"/>
        <w:pageBreakBefore w:val="0"/>
        <w:widowControl/>
        <w:kinsoku/>
        <w:wordWrap/>
        <w:overflowPunct/>
        <w:topLinePunct w:val="0"/>
        <w:autoSpaceDE/>
        <w:autoSpaceDN/>
        <w:bidi w:val="0"/>
        <w:adjustRightInd/>
        <w:snapToGrid/>
        <w:spacing w:line="600" w:lineRule="exact"/>
        <w:ind w:firstLine="1260" w:firstLineChars="600"/>
        <w:jc w:val="left"/>
        <w:textAlignment w:val="auto"/>
        <w:rPr>
          <w:rFonts w:hint="default" w:ascii="Times New Roman" w:hAnsi="Times New Roman" w:eastAsia="仿宋_GB2312" w:cs="Times New Roman"/>
          <w:b w:val="0"/>
          <w:bCs/>
          <w:color w:val="000000"/>
          <w:sz w:val="21"/>
          <w:szCs w:val="21"/>
          <w:highlight w:val="none"/>
          <w:lang w:val="en-US" w:eastAsia="zh-CN"/>
        </w:rPr>
      </w:pPr>
      <m:oMathPara>
        <m:oMathParaPr>
          <m:jc m:val="left"/>
        </m:oMathParaPr>
        <m:oMath>
          <m:r>
            <m:rPr/>
            <w:rPr>
              <w:rFonts w:hint="default" w:ascii="DejaVu Math TeX Gyre" w:hAnsi="DejaVu Math TeX Gyre" w:eastAsia="仿宋_GB2312"/>
              <w:sz w:val="21"/>
              <w:lang w:val="en-US" w:eastAsia="zh-CN"/>
            </w:rPr>
            <m:t xml:space="preserve">         </m:t>
          </m:r>
          <m:r>
            <m:rPr/>
            <w:rPr>
              <w:rFonts w:hint="default" w:ascii="DejaVu Math TeX Gyre" w:hAnsi="DejaVu Math TeX Gyre" w:eastAsia="仿宋_GB2312"/>
              <w:sz w:val="21"/>
            </w:rPr>
            <m:t>=</m:t>
          </m:r>
          <m:f>
            <m:fPr>
              <m:ctrlPr>
                <w:rPr>
                  <w:rFonts w:hint="eastAsia" w:ascii="DejaVu Math TeX Gyre" w:hAnsi="DejaVu Math TeX Gyre" w:eastAsia="仿宋_GB2312" w:cs="仿宋_GB2312"/>
                  <w:strike w:val="0"/>
                  <w:sz w:val="21"/>
                  <w:szCs w:val="21"/>
                </w:rPr>
              </m:ctrlPr>
            </m:fPr>
            <m:num>
              <m:r>
                <m:rPr>
                  <m:nor/>
                  <m:sty m:val="p"/>
                </m:rPr>
                <w:rPr>
                  <w:rFonts w:hint="eastAsia" w:ascii="DejaVu Math TeX Gyre" w:hAnsi="DejaVu Math TeX Gyre" w:eastAsia="仿宋_GB2312" w:cs="仿宋_GB2312"/>
                  <w:b w:val="0"/>
                  <w:i w:val="0"/>
                  <w:strike w:val="0"/>
                  <w:sz w:val="21"/>
                  <w:szCs w:val="21"/>
                </w:rPr>
                <m:t>本地参保人在本地出院人次−本地参保人在异地出院人次+异地参保人在本地出院人次</m:t>
              </m:r>
              <m:ctrlPr>
                <w:rPr>
                  <w:rFonts w:hint="eastAsia" w:ascii="DejaVu Math TeX Gyre" w:hAnsi="DejaVu Math TeX Gyre" w:eastAsia="仿宋_GB2312" w:cs="仿宋_GB2312"/>
                  <w:strike w:val="0"/>
                  <w:sz w:val="21"/>
                  <w:szCs w:val="21"/>
                </w:rPr>
              </m:ctrlPr>
            </m:num>
            <m:den>
              <m:r>
                <m:rPr>
                  <m:nor/>
                  <m:sty m:val="p"/>
                </m:rPr>
                <w:rPr>
                  <w:rFonts w:hint="eastAsia" w:ascii="DejaVu Math TeX Gyre" w:hAnsi="DejaVu Math TeX Gyre" w:eastAsia="仿宋_GB2312" w:cs="仿宋_GB2312"/>
                  <w:b w:val="0"/>
                  <w:i w:val="0"/>
                  <w:strike w:val="0"/>
                  <w:sz w:val="21"/>
                  <w:szCs w:val="21"/>
                </w:rPr>
                <m:t>本地参保人在本地出院人次</m:t>
              </m:r>
              <m:ctrlPr>
                <w:rPr>
                  <w:rFonts w:hint="eastAsia" w:ascii="DejaVu Math TeX Gyre" w:hAnsi="DejaVu Math TeX Gyre" w:eastAsia="仿宋_GB2312" w:cs="仿宋_GB2312"/>
                  <w:strike w:val="0"/>
                  <w:sz w:val="21"/>
                  <w:szCs w:val="21"/>
                </w:rPr>
              </m:ctrlPr>
            </m:den>
          </m:f>
        </m:oMath>
      </m:oMathPara>
    </w:p>
    <w:p>
      <w:pPr>
        <w:keepNext w:val="0"/>
        <w:keepLines w:val="0"/>
        <w:pageBreakBefore w:val="0"/>
        <w:widowControl w:val="0"/>
        <w:kinsoku/>
        <w:wordWrap/>
        <w:overflowPunct/>
        <w:topLinePunct w:val="0"/>
        <w:autoSpaceDE/>
        <w:autoSpaceDN/>
        <w:bidi w:val="0"/>
        <w:adjustRightInd/>
        <w:snapToGrid/>
        <w:spacing w:line="600" w:lineRule="exact"/>
        <w:ind w:firstLine="640"/>
        <w:jc w:val="both"/>
        <w:textAlignment w:val="auto"/>
        <w:rPr>
          <w:rFonts w:hint="default" w:ascii="Times New Roman" w:hAnsi="Times New Roman" w:eastAsia="仿宋_GB2312" w:cs="Times New Roman"/>
          <w:b w:val="0"/>
          <w:bCs/>
          <w:color w:val="000000"/>
          <w:sz w:val="32"/>
          <w:szCs w:val="32"/>
          <w:highlight w:val="none"/>
          <w:lang w:val="en-US" w:eastAsia="zh-CN"/>
        </w:rPr>
      </w:pPr>
      <w:bookmarkStart w:id="1" w:name="OLE_LINK13"/>
      <w:r>
        <w:rPr>
          <w:rFonts w:hint="default" w:ascii="Times New Roman" w:hAnsi="Times New Roman" w:eastAsia="仿宋_GB2312" w:cs="Times New Roman"/>
          <w:b w:val="0"/>
          <w:bCs/>
          <w:color w:val="000000"/>
          <w:sz w:val="32"/>
          <w:szCs w:val="32"/>
          <w:highlight w:val="none"/>
        </w:rPr>
        <w:t>基金调节系数各地可结合加权可支付月数进行测算，如低于警戒线则系数应小于1，高于安全线则系数可大于1。</w:t>
      </w:r>
    </w:p>
    <w:p>
      <w:pPr>
        <w:keepNext w:val="0"/>
        <w:keepLines w:val="0"/>
        <w:pageBreakBefore w:val="0"/>
        <w:widowControl w:val="0"/>
        <w:kinsoku/>
        <w:wordWrap/>
        <w:overflowPunct/>
        <w:topLinePunct w:val="0"/>
        <w:autoSpaceDE/>
        <w:autoSpaceDN/>
        <w:bidi w:val="0"/>
        <w:adjustRightInd/>
        <w:snapToGrid/>
        <w:spacing w:line="600" w:lineRule="exact"/>
        <w:ind w:firstLine="640"/>
        <w:jc w:val="both"/>
        <w:textAlignment w:val="auto"/>
        <w:rPr>
          <w:rFonts w:hint="default" w:ascii="Times New Roman" w:hAnsi="Times New Roman" w:eastAsia="仿宋_GB2312" w:cs="黑体"/>
          <w:bCs/>
          <w:color w:val="000000"/>
          <w:sz w:val="32"/>
          <w:szCs w:val="32"/>
          <w:highlight w:val="none"/>
          <w:lang w:val="en-US" w:eastAsia="zh-CN"/>
        </w:rPr>
      </w:pPr>
      <w:r>
        <w:rPr>
          <w:rFonts w:hint="eastAsia" w:ascii="楷体_GB2312" w:hAnsi="楷体_GB2312" w:eastAsia="楷体_GB2312" w:cs="楷体_GB2312"/>
          <w:b w:val="0"/>
          <w:bCs/>
          <w:color w:val="000000"/>
          <w:sz w:val="32"/>
          <w:szCs w:val="32"/>
          <w:highlight w:val="none"/>
          <w:lang w:val="en-US" w:eastAsia="zh-CN"/>
        </w:rPr>
        <w:t>（</w:t>
      </w:r>
      <w:r>
        <w:rPr>
          <w:rFonts w:hint="default" w:ascii="楷体_GB2312" w:hAnsi="楷体_GB2312" w:eastAsia="楷体_GB2312" w:cs="楷体_GB2312"/>
          <w:b w:val="0"/>
          <w:bCs/>
          <w:color w:val="000000"/>
          <w:sz w:val="32"/>
          <w:szCs w:val="32"/>
          <w:highlight w:val="none"/>
          <w:lang w:val="en-US" w:eastAsia="zh-CN"/>
        </w:rPr>
        <w:t>二</w:t>
      </w:r>
      <w:r>
        <w:rPr>
          <w:rFonts w:hint="eastAsia" w:ascii="楷体_GB2312" w:hAnsi="楷体_GB2312" w:eastAsia="楷体_GB2312" w:cs="楷体_GB2312"/>
          <w:b w:val="0"/>
          <w:bCs/>
          <w:color w:val="000000"/>
          <w:sz w:val="32"/>
          <w:szCs w:val="32"/>
          <w:highlight w:val="none"/>
          <w:lang w:val="en-US" w:eastAsia="zh-CN"/>
        </w:rPr>
        <w:t>）</w:t>
      </w:r>
      <w:r>
        <w:rPr>
          <w:rFonts w:hint="default" w:ascii="楷体_GB2312" w:hAnsi="楷体_GB2312" w:eastAsia="楷体_GB2312" w:cs="楷体_GB2312"/>
          <w:b w:val="0"/>
          <w:bCs/>
          <w:color w:val="000000"/>
          <w:sz w:val="32"/>
          <w:szCs w:val="32"/>
          <w:highlight w:val="none"/>
          <w:lang w:val="en-US" w:eastAsia="zh-CN"/>
        </w:rPr>
        <w:t>考虑因素</w:t>
      </w:r>
      <w:r>
        <w:rPr>
          <w:rFonts w:hint="default" w:ascii="Times New Roman" w:hAnsi="Times New Roman" w:eastAsia="仿宋_GB2312" w:cs="Times New Roman"/>
          <w:b w:val="0"/>
          <w:bCs/>
          <w:color w:val="000000"/>
          <w:sz w:val="32"/>
          <w:szCs w:val="32"/>
          <w:highlight w:val="none"/>
          <w:lang w:val="en-US" w:eastAsia="zh-CN"/>
        </w:rPr>
        <w:t>。落实到不同地区、不同城市，床位资源配置还需要统筹考虑以下因素影响。</w:t>
      </w:r>
      <w:r>
        <w:rPr>
          <w:rFonts w:hint="default" w:ascii="Times New Roman" w:hAnsi="Times New Roman" w:eastAsia="仿宋_GB2312" w:cs="Times New Roman"/>
          <w:b w:val="0"/>
          <w:bCs w:val="0"/>
          <w:color w:val="000000"/>
          <w:sz w:val="32"/>
          <w:szCs w:val="32"/>
          <w:highlight w:val="none"/>
          <w:lang w:val="en-US" w:eastAsia="zh-CN"/>
        </w:rPr>
        <w:t>一是</w:t>
      </w:r>
      <w:r>
        <w:rPr>
          <w:rFonts w:hint="default" w:ascii="Times New Roman" w:hAnsi="Times New Roman" w:eastAsia="仿宋_GB2312" w:cs="Times New Roman"/>
          <w:b w:val="0"/>
          <w:bCs/>
          <w:color w:val="000000"/>
          <w:sz w:val="32"/>
          <w:szCs w:val="32"/>
          <w:highlight w:val="none"/>
          <w:lang w:val="en-US" w:eastAsia="zh-CN"/>
        </w:rPr>
        <w:t>已有配置水平。它代表该地/城市医疗卫生资源积累，形成的医疗服务能力，以及辐射效应，调整宜循序渐进。</w:t>
      </w:r>
      <w:r>
        <w:rPr>
          <w:rFonts w:hint="default" w:ascii="Times New Roman" w:hAnsi="Times New Roman" w:eastAsia="仿宋_GB2312" w:cs="Times New Roman"/>
          <w:b w:val="0"/>
          <w:bCs w:val="0"/>
          <w:color w:val="000000"/>
          <w:sz w:val="32"/>
          <w:szCs w:val="32"/>
          <w:highlight w:val="none"/>
          <w:lang w:val="en-US" w:eastAsia="zh-CN"/>
        </w:rPr>
        <w:t>二是</w:t>
      </w:r>
      <w:r>
        <w:rPr>
          <w:rFonts w:hint="default" w:ascii="Times New Roman" w:hAnsi="Times New Roman" w:eastAsia="仿宋_GB2312" w:cs="Times New Roman"/>
          <w:b w:val="0"/>
          <w:bCs/>
          <w:color w:val="000000"/>
          <w:sz w:val="32"/>
          <w:szCs w:val="32"/>
          <w:highlight w:val="none"/>
          <w:lang w:val="en-US" w:eastAsia="zh-CN"/>
        </w:rPr>
        <w:t>现有实际住院率。公式中住院率包含了居民疾病就医需求、收入状况及经济负担能力、住院门诊服务选择、供方收治行为等因素。测算时要考虑政策导向和改革趋势，挤压当前住院率中的“水分”，可用卫生服务利用调查中的分年龄段住院率或医保部门掌握的分年龄段住院率。</w:t>
      </w:r>
      <w:r>
        <w:rPr>
          <w:rFonts w:hint="default" w:ascii="Times New Roman" w:hAnsi="Times New Roman" w:eastAsia="仿宋_GB2312" w:cs="Times New Roman"/>
          <w:b w:val="0"/>
          <w:bCs w:val="0"/>
          <w:color w:val="000000"/>
          <w:sz w:val="32"/>
          <w:szCs w:val="32"/>
          <w:highlight w:val="none"/>
          <w:lang w:val="en-US" w:eastAsia="zh-CN"/>
        </w:rPr>
        <w:t>三是</w:t>
      </w:r>
      <w:r>
        <w:rPr>
          <w:rFonts w:hint="default" w:ascii="Times New Roman" w:hAnsi="Times New Roman" w:eastAsia="仿宋_GB2312" w:cs="Times New Roman"/>
          <w:b w:val="0"/>
          <w:bCs/>
          <w:color w:val="000000"/>
          <w:sz w:val="32"/>
          <w:szCs w:val="32"/>
          <w:highlight w:val="none"/>
          <w:lang w:val="en-US" w:eastAsia="zh-CN"/>
        </w:rPr>
        <w:t>地理条件，人口密度等。对地广人稀地区，千人床位配置数应适当增加，这些因素总体反映在各地实际住院率当中。100人/平方公里以下的地区可以适当提高。</w:t>
      </w:r>
      <w:r>
        <w:rPr>
          <w:rFonts w:hint="default" w:ascii="Times New Roman" w:hAnsi="Times New Roman" w:eastAsia="仿宋_GB2312" w:cs="Times New Roman"/>
          <w:b w:val="0"/>
          <w:bCs w:val="0"/>
          <w:color w:val="000000"/>
          <w:sz w:val="32"/>
          <w:szCs w:val="32"/>
          <w:highlight w:val="none"/>
          <w:lang w:val="en-US" w:eastAsia="zh-CN"/>
        </w:rPr>
        <w:t>四是</w:t>
      </w:r>
      <w:r>
        <w:rPr>
          <w:rFonts w:hint="default" w:ascii="Times New Roman" w:hAnsi="Times New Roman" w:eastAsia="仿宋_GB2312" w:cs="Times New Roman"/>
          <w:b w:val="0"/>
          <w:bCs/>
          <w:color w:val="000000"/>
          <w:sz w:val="32"/>
          <w:szCs w:val="32"/>
          <w:highlight w:val="none"/>
          <w:lang w:val="en-US" w:eastAsia="zh-CN"/>
        </w:rPr>
        <w:t>人口总量、年龄结构以及人口流入、流出等中长期</w:t>
      </w:r>
      <w:r>
        <w:rPr>
          <w:rFonts w:hint="eastAsia" w:ascii="Times New Roman" w:hAnsi="Times New Roman" w:eastAsia="仿宋_GB2312" w:cs="Times New Roman"/>
          <w:b w:val="0"/>
          <w:bCs/>
          <w:color w:val="000000"/>
          <w:sz w:val="32"/>
          <w:szCs w:val="32"/>
          <w:highlight w:val="none"/>
          <w:lang w:val="en-US" w:eastAsia="zh-CN"/>
        </w:rPr>
        <w:t>（</w:t>
      </w:r>
      <w:r>
        <w:rPr>
          <w:rFonts w:hint="default" w:ascii="Times New Roman" w:hAnsi="Times New Roman" w:eastAsia="仿宋_GB2312" w:cs="Times New Roman"/>
          <w:b w:val="0"/>
          <w:bCs/>
          <w:color w:val="000000"/>
          <w:sz w:val="32"/>
          <w:szCs w:val="32"/>
          <w:highlight w:val="none"/>
          <w:lang w:val="en-US" w:eastAsia="zh-CN"/>
        </w:rPr>
        <w:t>3</w:t>
      </w:r>
      <w:r>
        <w:rPr>
          <w:rFonts w:hint="eastAsia" w:ascii="Times New Roman" w:hAnsi="Times New Roman" w:eastAsia="仿宋_GB2312" w:cs="Times New Roman"/>
          <w:b w:val="0"/>
          <w:bCs/>
          <w:color w:val="000000"/>
          <w:sz w:val="32"/>
          <w:szCs w:val="32"/>
          <w:highlight w:val="none"/>
          <w:lang w:val="en-US" w:eastAsia="zh-CN"/>
        </w:rPr>
        <w:t>—</w:t>
      </w:r>
      <w:r>
        <w:rPr>
          <w:rFonts w:hint="default" w:ascii="Times New Roman" w:hAnsi="Times New Roman" w:eastAsia="仿宋_GB2312" w:cs="Times New Roman"/>
          <w:b w:val="0"/>
          <w:bCs/>
          <w:color w:val="000000"/>
          <w:sz w:val="32"/>
          <w:szCs w:val="32"/>
          <w:highlight w:val="none"/>
          <w:lang w:val="en-US" w:eastAsia="zh-CN"/>
        </w:rPr>
        <w:t>10年</w:t>
      </w:r>
      <w:r>
        <w:rPr>
          <w:rFonts w:hint="eastAsia" w:ascii="Times New Roman" w:hAnsi="Times New Roman" w:eastAsia="仿宋_GB2312" w:cs="Times New Roman"/>
          <w:b w:val="0"/>
          <w:bCs/>
          <w:color w:val="000000"/>
          <w:sz w:val="32"/>
          <w:szCs w:val="32"/>
          <w:highlight w:val="none"/>
          <w:lang w:val="en-US" w:eastAsia="zh-CN"/>
        </w:rPr>
        <w:t>）</w:t>
      </w:r>
      <w:r>
        <w:rPr>
          <w:rFonts w:hint="default" w:ascii="Times New Roman" w:hAnsi="Times New Roman" w:eastAsia="仿宋_GB2312" w:cs="Times New Roman"/>
          <w:b w:val="0"/>
          <w:bCs/>
          <w:color w:val="000000"/>
          <w:sz w:val="32"/>
          <w:szCs w:val="32"/>
          <w:highlight w:val="none"/>
          <w:lang w:val="en-US" w:eastAsia="zh-CN"/>
        </w:rPr>
        <w:t>趋势。</w:t>
      </w:r>
      <w:r>
        <w:rPr>
          <w:rFonts w:hint="eastAsia" w:ascii="Times New Roman" w:hAnsi="Times New Roman" w:eastAsia="仿宋_GB2312" w:cs="Times New Roman"/>
          <w:b w:val="0"/>
          <w:bCs w:val="0"/>
          <w:color w:val="000000"/>
          <w:sz w:val="32"/>
          <w:szCs w:val="32"/>
          <w:highlight w:val="none"/>
          <w:lang w:val="en-US" w:eastAsia="zh-CN"/>
        </w:rPr>
        <w:t>五</w:t>
      </w:r>
      <w:r>
        <w:rPr>
          <w:rFonts w:hint="default" w:ascii="Times New Roman" w:hAnsi="Times New Roman" w:eastAsia="仿宋_GB2312" w:cs="Times New Roman"/>
          <w:b w:val="0"/>
          <w:bCs w:val="0"/>
          <w:color w:val="000000"/>
          <w:sz w:val="32"/>
          <w:szCs w:val="32"/>
          <w:highlight w:val="none"/>
          <w:lang w:val="en-US" w:eastAsia="zh-CN"/>
        </w:rPr>
        <w:t>是</w:t>
      </w:r>
      <w:r>
        <w:rPr>
          <w:rFonts w:hint="default" w:ascii="Times New Roman" w:hAnsi="Times New Roman" w:eastAsia="仿宋_GB2312" w:cs="Times New Roman"/>
          <w:b w:val="0"/>
          <w:bCs/>
          <w:color w:val="000000"/>
          <w:sz w:val="32"/>
          <w:szCs w:val="32"/>
          <w:highlight w:val="none"/>
          <w:lang w:val="en-US" w:eastAsia="zh-CN"/>
        </w:rPr>
        <w:t>分级配置结构。按照三、二、一级医院4:4:2的比例，确定</w:t>
      </w:r>
      <w:r>
        <w:rPr>
          <w:rFonts w:hint="eastAsia" w:ascii="Times New Roman" w:hAnsi="Times New Roman" w:eastAsia="仿宋_GB2312" w:cs="Times New Roman"/>
          <w:b w:val="0"/>
          <w:bCs/>
          <w:color w:val="000000"/>
          <w:sz w:val="32"/>
          <w:szCs w:val="32"/>
          <w:highlight w:val="none"/>
          <w:lang w:val="en-US" w:eastAsia="zh-CN"/>
        </w:rPr>
        <w:t>本地区</w:t>
      </w:r>
      <w:r>
        <w:rPr>
          <w:rFonts w:hint="default" w:ascii="Times New Roman" w:hAnsi="Times New Roman" w:eastAsia="仿宋_GB2312" w:cs="Times New Roman"/>
          <w:b w:val="0"/>
          <w:bCs/>
          <w:color w:val="000000"/>
          <w:sz w:val="32"/>
          <w:szCs w:val="32"/>
          <w:highlight w:val="none"/>
          <w:lang w:val="en-US" w:eastAsia="zh-CN"/>
        </w:rPr>
        <w:t>不同等级医院的床位配比。对于城市建成区人口规模在100万人以下的城市，可按照3:5:2左右调控。对于城市建成区人口规模在</w:t>
      </w:r>
      <w:r>
        <w:rPr>
          <w:rFonts w:hint="eastAsia" w:ascii="Times New Roman" w:hAnsi="Times New Roman" w:eastAsia="仿宋_GB2312" w:cs="Times New Roman"/>
          <w:b w:val="0"/>
          <w:bCs/>
          <w:color w:val="000000"/>
          <w:sz w:val="32"/>
          <w:szCs w:val="32"/>
          <w:highlight w:val="none"/>
          <w:lang w:val="en-US" w:eastAsia="zh-CN"/>
        </w:rPr>
        <w:t>100万—300万</w:t>
      </w:r>
      <w:r>
        <w:rPr>
          <w:rFonts w:hint="default" w:ascii="Times New Roman" w:hAnsi="Times New Roman" w:eastAsia="仿宋_GB2312" w:cs="Times New Roman"/>
          <w:b w:val="0"/>
          <w:bCs/>
          <w:color w:val="000000"/>
          <w:sz w:val="32"/>
          <w:szCs w:val="32"/>
          <w:highlight w:val="none"/>
          <w:lang w:val="en-US" w:eastAsia="zh-CN"/>
        </w:rPr>
        <w:t>的城市，可按照4:4:2左右调控。对于城市建成区人口规模在</w:t>
      </w:r>
      <w:r>
        <w:rPr>
          <w:rFonts w:hint="eastAsia" w:ascii="Times New Roman" w:hAnsi="Times New Roman" w:eastAsia="仿宋_GB2312" w:cs="Times New Roman"/>
          <w:b w:val="0"/>
          <w:bCs/>
          <w:color w:val="000000"/>
          <w:sz w:val="32"/>
          <w:szCs w:val="32"/>
          <w:highlight w:val="none"/>
          <w:lang w:val="en-US" w:eastAsia="zh-CN"/>
        </w:rPr>
        <w:t>300万—500万</w:t>
      </w:r>
      <w:r>
        <w:rPr>
          <w:rFonts w:hint="default" w:ascii="Times New Roman" w:hAnsi="Times New Roman" w:eastAsia="仿宋_GB2312" w:cs="Times New Roman"/>
          <w:b w:val="0"/>
          <w:bCs/>
          <w:color w:val="000000"/>
          <w:sz w:val="32"/>
          <w:szCs w:val="32"/>
          <w:highlight w:val="none"/>
          <w:lang w:val="en-US" w:eastAsia="zh-CN"/>
        </w:rPr>
        <w:t>的城市，可按照5:3:2左右调控。对于城市建成区人口规模在500万以上的特大城市及超大城市，可按照6:2:2左右调控。对于位置偏远、地广人稀的地区，床位配比可适当向基层医疗机构倾斜。</w:t>
      </w:r>
      <w:bookmarkEnd w:id="1"/>
    </w:p>
    <w:p>
      <w:pPr>
        <w:keepNext w:val="0"/>
        <w:keepLines w:val="0"/>
        <w:pageBreakBefore w:val="0"/>
        <w:widowControl w:val="0"/>
        <w:kinsoku/>
        <w:wordWrap/>
        <w:overflowPunct/>
        <w:topLinePunct w:val="0"/>
        <w:autoSpaceDE/>
        <w:autoSpaceDN/>
        <w:bidi w:val="0"/>
        <w:adjustRightInd/>
        <w:snapToGrid/>
        <w:spacing w:line="600" w:lineRule="exact"/>
        <w:ind w:firstLine="640"/>
        <w:jc w:val="both"/>
        <w:textAlignment w:val="auto"/>
        <w:rPr>
          <w:rFonts w:hint="default" w:ascii="Times New Roman" w:hAnsi="Times New Roman" w:eastAsia="黑体" w:cs="黑体"/>
          <w:bCs/>
          <w:color w:val="000000"/>
          <w:sz w:val="32"/>
          <w:szCs w:val="32"/>
          <w:highlight w:val="none"/>
          <w:lang w:val="en-US" w:eastAsia="zh-CN"/>
        </w:rPr>
      </w:pPr>
      <w:r>
        <w:rPr>
          <w:rFonts w:hint="default" w:ascii="Times New Roman" w:hAnsi="Times New Roman" w:eastAsia="黑体" w:cs="黑体"/>
          <w:bCs/>
          <w:color w:val="000000"/>
          <w:sz w:val="32"/>
          <w:szCs w:val="32"/>
          <w:highlight w:val="none"/>
          <w:lang w:val="en-US" w:eastAsia="zh-CN"/>
        </w:rPr>
        <w:t>二、医药机构设置</w:t>
      </w:r>
    </w:p>
    <w:p>
      <w:pPr>
        <w:keepNext w:val="0"/>
        <w:keepLines w:val="0"/>
        <w:pageBreakBefore w:val="0"/>
        <w:widowControl w:val="0"/>
        <w:kinsoku/>
        <w:wordWrap/>
        <w:overflowPunct/>
        <w:topLinePunct w:val="0"/>
        <w:autoSpaceDE/>
        <w:autoSpaceDN/>
        <w:bidi w:val="0"/>
        <w:adjustRightInd/>
        <w:snapToGrid/>
        <w:spacing w:line="600" w:lineRule="exact"/>
        <w:ind w:firstLine="640"/>
        <w:jc w:val="both"/>
        <w:textAlignment w:val="auto"/>
        <w:rPr>
          <w:rFonts w:hint="default" w:ascii="Times New Roman" w:hAnsi="Times New Roman" w:eastAsia="仿宋_GB2312" w:cs="Times New Roman"/>
          <w:b w:val="0"/>
          <w:bCs/>
          <w:color w:val="000000"/>
          <w:sz w:val="32"/>
          <w:szCs w:val="32"/>
          <w:highlight w:val="none"/>
          <w:lang w:val="en-US" w:eastAsia="zh-CN"/>
        </w:rPr>
      </w:pPr>
      <w:r>
        <w:rPr>
          <w:rFonts w:hint="eastAsia" w:ascii="楷体_GB2312" w:hAnsi="楷体_GB2312" w:eastAsia="楷体_GB2312" w:cs="楷体_GB2312"/>
          <w:b w:val="0"/>
          <w:bCs/>
          <w:color w:val="000000"/>
          <w:sz w:val="32"/>
          <w:szCs w:val="32"/>
          <w:highlight w:val="none"/>
          <w:lang w:val="en-US" w:eastAsia="zh-CN"/>
        </w:rPr>
        <w:t>（一）定点医疗机构</w:t>
      </w:r>
    </w:p>
    <w:p>
      <w:pPr>
        <w:keepNext w:val="0"/>
        <w:keepLines w:val="0"/>
        <w:pageBreakBefore w:val="0"/>
        <w:widowControl w:val="0"/>
        <w:kinsoku/>
        <w:wordWrap/>
        <w:overflowPunct/>
        <w:topLinePunct w:val="0"/>
        <w:autoSpaceDE/>
        <w:autoSpaceDN/>
        <w:bidi w:val="0"/>
        <w:adjustRightInd/>
        <w:snapToGrid/>
        <w:spacing w:line="600" w:lineRule="exact"/>
        <w:ind w:firstLine="640"/>
        <w:jc w:val="both"/>
        <w:textAlignment w:val="auto"/>
        <w:rPr>
          <w:rFonts w:hint="default" w:ascii="Times New Roman" w:hAnsi="Times New Roman" w:eastAsia="仿宋_GB2312" w:cs="Times New Roman"/>
          <w:b w:val="0"/>
          <w:bCs/>
          <w:color w:val="000000"/>
          <w:sz w:val="32"/>
          <w:szCs w:val="32"/>
          <w:highlight w:val="none"/>
          <w:lang w:val="en-US" w:eastAsia="zh-CN"/>
        </w:rPr>
      </w:pPr>
      <w:r>
        <w:rPr>
          <w:rFonts w:hint="default" w:ascii="Times New Roman" w:hAnsi="Times New Roman" w:eastAsia="仿宋_GB2312" w:cs="Times New Roman"/>
          <w:b w:val="0"/>
          <w:bCs/>
          <w:color w:val="000000"/>
          <w:sz w:val="32"/>
          <w:szCs w:val="32"/>
          <w:highlight w:val="none"/>
          <w:lang w:val="en-US" w:eastAsia="zh-CN"/>
        </w:rPr>
        <w:t>根据卫生健康</w:t>
      </w:r>
      <w:r>
        <w:rPr>
          <w:rFonts w:hint="eastAsia" w:ascii="Times New Roman" w:hAnsi="Times New Roman" w:eastAsia="仿宋_GB2312" w:cs="Times New Roman"/>
          <w:b w:val="0"/>
          <w:bCs/>
          <w:color w:val="000000"/>
          <w:sz w:val="32"/>
          <w:szCs w:val="32"/>
          <w:highlight w:val="none"/>
          <w:lang w:val="en-US" w:eastAsia="zh-CN"/>
        </w:rPr>
        <w:t>部门医疗机构设置规划指导原则相关标准，</w:t>
      </w:r>
      <w:r>
        <w:rPr>
          <w:rFonts w:hint="default" w:ascii="Times New Roman" w:hAnsi="Times New Roman" w:eastAsia="仿宋_GB2312" w:cs="Times New Roman"/>
          <w:b w:val="0"/>
          <w:bCs/>
          <w:color w:val="000000"/>
          <w:sz w:val="32"/>
          <w:szCs w:val="32"/>
          <w:highlight w:val="none"/>
          <w:lang w:val="en-US" w:eastAsia="zh-CN"/>
        </w:rPr>
        <w:t>每</w:t>
      </w:r>
      <w:r>
        <w:rPr>
          <w:rFonts w:hint="eastAsia" w:ascii="Times New Roman" w:hAnsi="Times New Roman" w:eastAsia="仿宋_GB2312" w:cs="Times New Roman"/>
          <w:b w:val="0"/>
          <w:bCs/>
          <w:color w:val="000000"/>
          <w:sz w:val="32"/>
          <w:szCs w:val="32"/>
          <w:highlight w:val="none"/>
          <w:lang w:val="en-US" w:eastAsia="zh-CN"/>
        </w:rPr>
        <w:t>1000万—1500万</w:t>
      </w:r>
      <w:r>
        <w:rPr>
          <w:rFonts w:hint="default" w:ascii="Times New Roman" w:hAnsi="Times New Roman" w:eastAsia="仿宋_GB2312" w:cs="Times New Roman"/>
          <w:b w:val="0"/>
          <w:bCs/>
          <w:color w:val="000000"/>
          <w:sz w:val="32"/>
          <w:szCs w:val="32"/>
          <w:highlight w:val="none"/>
          <w:lang w:val="en-US" w:eastAsia="zh-CN"/>
        </w:rPr>
        <w:t>人口规划设置1个省级区域医疗中心。</w:t>
      </w:r>
      <w:r>
        <w:rPr>
          <w:rFonts w:hint="eastAsia" w:ascii="Times New Roman" w:hAnsi="Times New Roman" w:eastAsia="仿宋_GB2312" w:cs="Times New Roman"/>
          <w:b w:val="0"/>
          <w:bCs/>
          <w:color w:val="000000"/>
          <w:sz w:val="32"/>
          <w:szCs w:val="32"/>
          <w:highlight w:val="none"/>
          <w:lang w:val="en-US" w:eastAsia="zh-CN"/>
        </w:rPr>
        <w:t>100万—200万</w:t>
      </w:r>
      <w:r>
        <w:rPr>
          <w:rFonts w:hint="default" w:ascii="Times New Roman" w:hAnsi="Times New Roman" w:eastAsia="仿宋_GB2312" w:cs="Times New Roman"/>
          <w:b w:val="0"/>
          <w:bCs/>
          <w:color w:val="000000"/>
          <w:sz w:val="32"/>
          <w:szCs w:val="32"/>
          <w:highlight w:val="none"/>
          <w:lang w:val="en-US" w:eastAsia="zh-CN"/>
        </w:rPr>
        <w:t>人口设置1</w:t>
      </w:r>
      <w:r>
        <w:rPr>
          <w:rFonts w:hint="eastAsia" w:ascii="Times New Roman" w:hAnsi="Times New Roman" w:eastAsia="仿宋_GB2312" w:cs="Times New Roman"/>
          <w:b w:val="0"/>
          <w:bCs/>
          <w:color w:val="000000"/>
          <w:sz w:val="32"/>
          <w:szCs w:val="32"/>
          <w:highlight w:val="none"/>
          <w:lang w:val="en-US" w:eastAsia="zh-CN"/>
        </w:rPr>
        <w:t>-</w:t>
      </w:r>
      <w:r>
        <w:rPr>
          <w:rFonts w:hint="default" w:ascii="Times New Roman" w:hAnsi="Times New Roman" w:eastAsia="仿宋_GB2312" w:cs="Times New Roman"/>
          <w:b w:val="0"/>
          <w:bCs/>
          <w:color w:val="000000"/>
          <w:sz w:val="32"/>
          <w:szCs w:val="32"/>
          <w:highlight w:val="none"/>
          <w:lang w:val="en-US" w:eastAsia="zh-CN"/>
        </w:rPr>
        <w:t>2个三级综合医院</w:t>
      </w:r>
      <w:r>
        <w:rPr>
          <w:rFonts w:hint="eastAsia" w:ascii="Times New Roman" w:hAnsi="Times New Roman" w:eastAsia="仿宋_GB2312" w:cs="Times New Roman"/>
          <w:b w:val="0"/>
          <w:bCs/>
          <w:color w:val="000000"/>
          <w:sz w:val="32"/>
          <w:szCs w:val="32"/>
          <w:highlight w:val="none"/>
          <w:lang w:val="en-US" w:eastAsia="zh-CN"/>
        </w:rPr>
        <w:t>（</w:t>
      </w:r>
      <w:r>
        <w:rPr>
          <w:rFonts w:hint="default" w:ascii="Times New Roman" w:hAnsi="Times New Roman" w:eastAsia="仿宋_GB2312" w:cs="Times New Roman"/>
          <w:b w:val="0"/>
          <w:bCs/>
          <w:color w:val="000000"/>
          <w:sz w:val="32"/>
          <w:szCs w:val="32"/>
          <w:highlight w:val="none"/>
          <w:lang w:val="en-US" w:eastAsia="zh-CN"/>
        </w:rPr>
        <w:t>含中医类医院，地广人稀的地区人口规模可以适当放宽</w:t>
      </w:r>
      <w:r>
        <w:rPr>
          <w:rFonts w:hint="eastAsia" w:ascii="Times New Roman" w:hAnsi="Times New Roman" w:eastAsia="仿宋_GB2312" w:cs="Times New Roman"/>
          <w:b w:val="0"/>
          <w:bCs/>
          <w:color w:val="000000"/>
          <w:sz w:val="32"/>
          <w:szCs w:val="32"/>
          <w:highlight w:val="none"/>
          <w:lang w:val="en-US" w:eastAsia="zh-CN"/>
        </w:rPr>
        <w:t>）</w:t>
      </w:r>
      <w:r>
        <w:rPr>
          <w:rFonts w:hint="default" w:ascii="Times New Roman" w:hAnsi="Times New Roman" w:eastAsia="仿宋_GB2312" w:cs="Times New Roman"/>
          <w:b w:val="0"/>
          <w:bCs/>
          <w:color w:val="000000"/>
          <w:sz w:val="32"/>
          <w:szCs w:val="32"/>
          <w:highlight w:val="none"/>
          <w:lang w:val="en-US" w:eastAsia="zh-CN"/>
        </w:rPr>
        <w:t>。县域常住人口低于10万人，应整合设置县办医院。“15分钟</w:t>
      </w:r>
      <w:r>
        <w:rPr>
          <w:rFonts w:hint="eastAsia" w:ascii="Times New Roman" w:hAnsi="Times New Roman" w:eastAsia="仿宋_GB2312" w:cs="Times New Roman"/>
          <w:b w:val="0"/>
          <w:bCs/>
          <w:color w:val="000000"/>
          <w:sz w:val="32"/>
          <w:szCs w:val="32"/>
          <w:highlight w:val="none"/>
          <w:lang w:val="en-US" w:eastAsia="zh-CN"/>
        </w:rPr>
        <w:t>医保</w:t>
      </w:r>
      <w:r>
        <w:rPr>
          <w:rFonts w:hint="default" w:ascii="Times New Roman" w:hAnsi="Times New Roman" w:eastAsia="仿宋_GB2312" w:cs="Times New Roman"/>
          <w:b w:val="0"/>
          <w:bCs/>
          <w:color w:val="000000"/>
          <w:sz w:val="32"/>
          <w:szCs w:val="32"/>
          <w:highlight w:val="none"/>
          <w:lang w:val="en-US" w:eastAsia="zh-CN"/>
        </w:rPr>
        <w:t>服务圈”内不宜设置同类型或同等级的定点医疗机构。纳入定点时可参考以上原则。</w:t>
      </w:r>
    </w:p>
    <w:p>
      <w:pPr>
        <w:keepNext w:val="0"/>
        <w:keepLines w:val="0"/>
        <w:pageBreakBefore w:val="0"/>
        <w:widowControl w:val="0"/>
        <w:kinsoku/>
        <w:wordWrap/>
        <w:overflowPunct/>
        <w:topLinePunct w:val="0"/>
        <w:autoSpaceDE/>
        <w:autoSpaceDN/>
        <w:bidi w:val="0"/>
        <w:adjustRightInd/>
        <w:snapToGrid/>
        <w:spacing w:line="600" w:lineRule="exact"/>
        <w:ind w:firstLine="640"/>
        <w:jc w:val="both"/>
        <w:textAlignment w:val="auto"/>
        <w:rPr>
          <w:rFonts w:hint="default" w:ascii="Times New Roman" w:hAnsi="Times New Roman" w:eastAsia="仿宋_GB2312" w:cs="Times New Roman"/>
          <w:b w:val="0"/>
          <w:bCs/>
          <w:color w:val="000000"/>
          <w:sz w:val="32"/>
          <w:szCs w:val="32"/>
          <w:highlight w:val="none"/>
          <w:lang w:val="en-US" w:eastAsia="zh-CN"/>
        </w:rPr>
      </w:pPr>
      <w:r>
        <w:rPr>
          <w:rFonts w:hint="default" w:ascii="Times New Roman" w:hAnsi="Times New Roman" w:eastAsia="仿宋_GB2312" w:cs="Times New Roman"/>
          <w:b w:val="0"/>
          <w:bCs/>
          <w:color w:val="000000"/>
          <w:sz w:val="32"/>
          <w:szCs w:val="32"/>
          <w:highlight w:val="none"/>
          <w:lang w:val="en-US" w:eastAsia="zh-CN"/>
        </w:rPr>
        <w:t>同时，根据需要规划布局儿童、肿瘤、精神、传染病等专科医院和中医医院，地广人稀地区定点数量可以适当放宽，并根据医疗服务实际需要设置职业病和口腔医院。有序引导部分医院转型为康复、护理、精神、职业病等专科医疗机构。加大基层定点</w:t>
      </w:r>
      <w:r>
        <w:rPr>
          <w:rFonts w:hint="eastAsia" w:ascii="Times New Roman" w:hAnsi="Times New Roman" w:eastAsia="仿宋_GB2312" w:cs="Times New Roman"/>
          <w:b w:val="0"/>
          <w:bCs/>
          <w:color w:val="000000"/>
          <w:sz w:val="32"/>
          <w:szCs w:val="32"/>
          <w:highlight w:val="none"/>
          <w:lang w:val="en-US" w:eastAsia="zh-CN"/>
        </w:rPr>
        <w:t>医疗机构</w:t>
      </w:r>
      <w:r>
        <w:rPr>
          <w:rFonts w:hint="default" w:ascii="Times New Roman" w:hAnsi="Times New Roman" w:eastAsia="仿宋_GB2312" w:cs="Times New Roman"/>
          <w:b w:val="0"/>
          <w:bCs/>
          <w:color w:val="000000"/>
          <w:sz w:val="32"/>
          <w:szCs w:val="32"/>
          <w:highlight w:val="none"/>
          <w:lang w:val="en-US" w:eastAsia="zh-CN"/>
        </w:rPr>
        <w:t>支持力度，对城市建成区每个街道至少有1家一级及以下定点医疗机构</w:t>
      </w:r>
      <w:r>
        <w:rPr>
          <w:rFonts w:hint="eastAsia" w:ascii="Times New Roman" w:hAnsi="Times New Roman" w:eastAsia="仿宋_GB2312" w:cs="Times New Roman"/>
          <w:b w:val="0"/>
          <w:bCs/>
          <w:color w:val="000000"/>
          <w:sz w:val="32"/>
          <w:szCs w:val="32"/>
          <w:highlight w:val="none"/>
          <w:lang w:val="en-US" w:eastAsia="zh-CN"/>
        </w:rPr>
        <w:t>；</w:t>
      </w:r>
      <w:r>
        <w:rPr>
          <w:rFonts w:hint="default" w:ascii="Times New Roman" w:hAnsi="Times New Roman" w:eastAsia="仿宋_GB2312" w:cs="Times New Roman"/>
          <w:b w:val="0"/>
          <w:bCs/>
          <w:color w:val="000000"/>
          <w:sz w:val="32"/>
          <w:szCs w:val="32"/>
          <w:highlight w:val="none"/>
          <w:lang w:val="en-US" w:eastAsia="zh-CN"/>
        </w:rPr>
        <w:t>对农村地区，支持符合条件且自愿申请的村卫生室纳入定点。</w:t>
      </w:r>
    </w:p>
    <w:p>
      <w:pPr>
        <w:keepNext w:val="0"/>
        <w:keepLines w:val="0"/>
        <w:pageBreakBefore w:val="0"/>
        <w:widowControl w:val="0"/>
        <w:kinsoku/>
        <w:wordWrap/>
        <w:overflowPunct/>
        <w:topLinePunct w:val="0"/>
        <w:autoSpaceDE/>
        <w:autoSpaceDN/>
        <w:bidi w:val="0"/>
        <w:adjustRightInd/>
        <w:snapToGrid/>
        <w:spacing w:line="600" w:lineRule="exact"/>
        <w:ind w:firstLine="640"/>
        <w:jc w:val="both"/>
        <w:textAlignment w:val="auto"/>
        <w:rPr>
          <w:rFonts w:hint="default" w:ascii="楷体_GB2312" w:hAnsi="楷体_GB2312" w:eastAsia="楷体_GB2312" w:cs="楷体_GB2312"/>
          <w:b w:val="0"/>
          <w:bCs/>
          <w:color w:val="000000"/>
          <w:sz w:val="32"/>
          <w:szCs w:val="32"/>
          <w:highlight w:val="none"/>
          <w:lang w:val="en-US" w:eastAsia="zh-CN"/>
        </w:rPr>
      </w:pPr>
      <w:r>
        <w:rPr>
          <w:rFonts w:hint="eastAsia" w:ascii="楷体_GB2312" w:hAnsi="楷体_GB2312" w:eastAsia="楷体_GB2312" w:cs="楷体_GB2312"/>
          <w:b w:val="0"/>
          <w:bCs/>
          <w:color w:val="000000"/>
          <w:sz w:val="32"/>
          <w:szCs w:val="32"/>
          <w:highlight w:val="none"/>
          <w:lang w:val="en-US" w:eastAsia="zh-CN"/>
        </w:rPr>
        <w:t>（</w:t>
      </w:r>
      <w:r>
        <w:rPr>
          <w:rFonts w:hint="default" w:ascii="楷体_GB2312" w:hAnsi="楷体_GB2312" w:eastAsia="楷体_GB2312" w:cs="楷体_GB2312"/>
          <w:b w:val="0"/>
          <w:bCs/>
          <w:color w:val="000000"/>
          <w:sz w:val="32"/>
          <w:szCs w:val="32"/>
          <w:highlight w:val="none"/>
          <w:lang w:val="en-US" w:eastAsia="zh-CN"/>
        </w:rPr>
        <w:t>二</w:t>
      </w:r>
      <w:r>
        <w:rPr>
          <w:rFonts w:hint="eastAsia" w:ascii="楷体_GB2312" w:hAnsi="楷体_GB2312" w:eastAsia="楷体_GB2312" w:cs="楷体_GB2312"/>
          <w:b w:val="0"/>
          <w:bCs/>
          <w:color w:val="000000"/>
          <w:sz w:val="32"/>
          <w:szCs w:val="32"/>
          <w:highlight w:val="none"/>
          <w:lang w:val="en-US" w:eastAsia="zh-CN"/>
        </w:rPr>
        <w:t>）</w:t>
      </w:r>
      <w:r>
        <w:rPr>
          <w:rFonts w:hint="default" w:ascii="楷体_GB2312" w:hAnsi="楷体_GB2312" w:eastAsia="楷体_GB2312" w:cs="楷体_GB2312"/>
          <w:b w:val="0"/>
          <w:bCs/>
          <w:color w:val="000000"/>
          <w:sz w:val="32"/>
          <w:szCs w:val="32"/>
          <w:highlight w:val="none"/>
          <w:lang w:val="en-US" w:eastAsia="zh-CN"/>
        </w:rPr>
        <w:t>定点</w:t>
      </w:r>
      <w:r>
        <w:rPr>
          <w:rFonts w:hint="eastAsia" w:ascii="楷体_GB2312" w:hAnsi="楷体_GB2312" w:eastAsia="楷体_GB2312" w:cs="楷体_GB2312"/>
          <w:b w:val="0"/>
          <w:bCs/>
          <w:color w:val="000000"/>
          <w:sz w:val="32"/>
          <w:szCs w:val="32"/>
          <w:highlight w:val="none"/>
          <w:lang w:val="en-US" w:eastAsia="zh-CN"/>
        </w:rPr>
        <w:t>零售</w:t>
      </w:r>
      <w:r>
        <w:rPr>
          <w:rFonts w:hint="default" w:ascii="楷体_GB2312" w:hAnsi="楷体_GB2312" w:eastAsia="楷体_GB2312" w:cs="楷体_GB2312"/>
          <w:b w:val="0"/>
          <w:bCs/>
          <w:color w:val="000000"/>
          <w:sz w:val="32"/>
          <w:szCs w:val="32"/>
          <w:highlight w:val="none"/>
          <w:lang w:val="en-US" w:eastAsia="zh-CN"/>
        </w:rPr>
        <w:t>药店</w:t>
      </w:r>
    </w:p>
    <w:p>
      <w:pPr>
        <w:spacing w:line="600" w:lineRule="exact"/>
        <w:ind w:firstLine="640"/>
        <w:rPr>
          <w:rFonts w:hint="default" w:ascii="Times New Roman" w:hAnsi="Times New Roman" w:eastAsia="仿宋_GB2312" w:cs="Times New Roman"/>
          <w:b w:val="0"/>
          <w:bCs/>
          <w:color w:val="000000"/>
          <w:sz w:val="32"/>
          <w:szCs w:val="32"/>
          <w:highlight w:val="none"/>
          <w:lang w:val="en-US" w:eastAsia="zh-CN"/>
        </w:rPr>
      </w:pPr>
      <w:r>
        <w:rPr>
          <w:rFonts w:hint="eastAsia" w:ascii="Times New Roman" w:hAnsi="Times New Roman" w:eastAsia="仿宋_GB2312" w:cs="Times New Roman"/>
          <w:b w:val="0"/>
          <w:bCs/>
          <w:color w:val="000000"/>
          <w:sz w:val="32"/>
          <w:szCs w:val="32"/>
          <w:highlight w:val="none"/>
          <w:lang w:val="en-US" w:eastAsia="zh-CN"/>
        </w:rPr>
        <w:t>定点零售药店区域配置总量，</w:t>
      </w:r>
      <w:r>
        <w:rPr>
          <w:rFonts w:hint="default" w:ascii="Times New Roman" w:hAnsi="Times New Roman" w:eastAsia="仿宋_GB2312" w:cs="Times New Roman"/>
          <w:b w:val="0"/>
          <w:bCs/>
          <w:color w:val="000000"/>
          <w:sz w:val="32"/>
          <w:szCs w:val="32"/>
          <w:highlight w:val="none"/>
          <w:lang w:val="en-US" w:eastAsia="zh-CN"/>
        </w:rPr>
        <w:t>城</w:t>
      </w:r>
      <w:r>
        <w:rPr>
          <w:rFonts w:hint="eastAsia" w:ascii="Times New Roman" w:hAnsi="Times New Roman" w:eastAsia="仿宋_GB2312" w:cs="Times New Roman"/>
          <w:b w:val="0"/>
          <w:bCs/>
          <w:color w:val="000000"/>
          <w:sz w:val="32"/>
          <w:szCs w:val="32"/>
          <w:highlight w:val="none"/>
          <w:lang w:val="en-US" w:eastAsia="zh-CN"/>
        </w:rPr>
        <w:t>区</w:t>
      </w:r>
      <w:r>
        <w:rPr>
          <w:rFonts w:hint="default" w:ascii="Times New Roman" w:hAnsi="Times New Roman" w:eastAsia="仿宋_GB2312" w:cs="Times New Roman"/>
          <w:b w:val="0"/>
          <w:bCs/>
          <w:color w:val="000000"/>
          <w:sz w:val="32"/>
          <w:szCs w:val="32"/>
          <w:highlight w:val="none"/>
          <w:lang w:val="en-US" w:eastAsia="zh-CN"/>
        </w:rPr>
        <w:t>按照“15分钟</w:t>
      </w:r>
      <w:r>
        <w:rPr>
          <w:rFonts w:hint="eastAsia" w:ascii="Times New Roman" w:hAnsi="Times New Roman" w:eastAsia="仿宋_GB2312" w:cs="Times New Roman"/>
          <w:b w:val="0"/>
          <w:bCs/>
          <w:color w:val="000000"/>
          <w:sz w:val="32"/>
          <w:szCs w:val="32"/>
          <w:highlight w:val="none"/>
          <w:lang w:val="en-US" w:eastAsia="zh-CN"/>
        </w:rPr>
        <w:t>医保</w:t>
      </w:r>
      <w:r>
        <w:rPr>
          <w:rFonts w:hint="default" w:ascii="Times New Roman" w:hAnsi="Times New Roman" w:eastAsia="仿宋_GB2312" w:cs="Times New Roman"/>
          <w:b w:val="0"/>
          <w:bCs/>
          <w:color w:val="000000"/>
          <w:sz w:val="32"/>
          <w:szCs w:val="32"/>
          <w:highlight w:val="none"/>
          <w:lang w:val="en-US" w:eastAsia="zh-CN"/>
        </w:rPr>
        <w:t>服务圈”</w:t>
      </w:r>
      <w:r>
        <w:rPr>
          <w:rFonts w:hint="eastAsia" w:ascii="Times New Roman" w:hAnsi="Times New Roman" w:eastAsia="仿宋_GB2312" w:cs="Times New Roman"/>
          <w:b w:val="0"/>
          <w:bCs/>
          <w:color w:val="000000"/>
          <w:sz w:val="32"/>
          <w:szCs w:val="32"/>
          <w:highlight w:val="none"/>
          <w:lang w:val="en-US" w:eastAsia="zh-CN"/>
        </w:rPr>
        <w:t>进行测算，</w:t>
      </w:r>
      <w:r>
        <w:rPr>
          <w:rFonts w:hint="default" w:ascii="Times New Roman" w:hAnsi="Times New Roman" w:eastAsia="仿宋_GB2312" w:cs="Times New Roman"/>
          <w:b w:val="0"/>
          <w:bCs/>
          <w:color w:val="000000"/>
          <w:sz w:val="32"/>
          <w:szCs w:val="32"/>
          <w:highlight w:val="none"/>
          <w:lang w:val="en-US" w:eastAsia="zh-CN"/>
        </w:rPr>
        <w:t>人口密集区域可以适当增加定点零售药店数量</w:t>
      </w:r>
      <w:r>
        <w:rPr>
          <w:rFonts w:hint="eastAsia" w:ascii="Times New Roman" w:hAnsi="Times New Roman" w:eastAsia="仿宋_GB2312" w:cs="Times New Roman"/>
          <w:b w:val="0"/>
          <w:bCs/>
          <w:color w:val="000000"/>
          <w:sz w:val="32"/>
          <w:szCs w:val="32"/>
          <w:highlight w:val="none"/>
          <w:lang w:val="en-US" w:eastAsia="zh-CN"/>
        </w:rPr>
        <w:t>；非城区</w:t>
      </w:r>
      <w:r>
        <w:rPr>
          <w:rFonts w:hint="default" w:ascii="Times New Roman" w:hAnsi="Times New Roman" w:eastAsia="仿宋_GB2312" w:cs="Times New Roman"/>
          <w:b w:val="0"/>
          <w:bCs/>
          <w:color w:val="000000"/>
          <w:sz w:val="32"/>
          <w:szCs w:val="32"/>
          <w:highlight w:val="none"/>
          <w:lang w:val="en-US" w:eastAsia="zh-CN"/>
        </w:rPr>
        <w:t>结合</w:t>
      </w:r>
      <w:r>
        <w:rPr>
          <w:rFonts w:hint="eastAsia" w:ascii="Times New Roman" w:hAnsi="Times New Roman" w:eastAsia="仿宋_GB2312" w:cs="Times New Roman"/>
          <w:b w:val="0"/>
          <w:bCs/>
          <w:color w:val="000000"/>
          <w:sz w:val="32"/>
          <w:szCs w:val="32"/>
          <w:highlight w:val="none"/>
          <w:lang w:val="en-US" w:eastAsia="zh-CN"/>
        </w:rPr>
        <w:t>人口密度、服务半径等确定</w:t>
      </w:r>
      <w:r>
        <w:rPr>
          <w:rFonts w:hint="default" w:ascii="Times New Roman" w:hAnsi="Times New Roman" w:eastAsia="仿宋_GB2312" w:cs="Times New Roman"/>
          <w:b w:val="0"/>
          <w:bCs/>
          <w:color w:val="000000"/>
          <w:sz w:val="32"/>
          <w:szCs w:val="32"/>
          <w:highlight w:val="none"/>
          <w:lang w:val="en-US" w:eastAsia="zh-CN"/>
        </w:rPr>
        <w:t>。乡镇中心区至少有1家定点零售药店，</w:t>
      </w:r>
      <w:r>
        <w:rPr>
          <w:rFonts w:hint="eastAsia" w:ascii="Times New Roman" w:hAnsi="Times New Roman" w:eastAsia="仿宋_GB2312" w:cs="Times New Roman"/>
          <w:b w:val="0"/>
          <w:bCs/>
          <w:color w:val="000000"/>
          <w:sz w:val="32"/>
          <w:szCs w:val="32"/>
          <w:highlight w:val="none"/>
          <w:lang w:val="en-US" w:eastAsia="zh-CN"/>
        </w:rPr>
        <w:t>原则上</w:t>
      </w:r>
      <w:r>
        <w:rPr>
          <w:rFonts w:hint="default" w:ascii="Times New Roman" w:hAnsi="Times New Roman" w:eastAsia="仿宋_GB2312" w:cs="Times New Roman"/>
          <w:b w:val="0"/>
          <w:bCs/>
          <w:color w:val="000000"/>
          <w:sz w:val="32"/>
          <w:szCs w:val="32"/>
          <w:highlight w:val="none"/>
          <w:lang w:val="en-US" w:eastAsia="zh-CN"/>
        </w:rPr>
        <w:t>每个</w:t>
      </w:r>
      <w:r>
        <w:rPr>
          <w:rFonts w:hint="default" w:ascii="Times New Roman" w:hAnsi="Times New Roman" w:eastAsia="仿宋_GB2312" w:cs="Times New Roman"/>
          <w:sz w:val="32"/>
          <w:szCs w:val="32"/>
        </w:rPr>
        <w:t>县</w:t>
      </w:r>
      <w:r>
        <w:rPr>
          <w:rFonts w:hint="eastAsia" w:ascii="Times New Roman" w:hAnsi="Times New Roman" w:eastAsia="仿宋_GB2312" w:cs="Times New Roman"/>
          <w:sz w:val="32"/>
          <w:szCs w:val="32"/>
          <w:lang w:eastAsia="zh-CN"/>
        </w:rPr>
        <w:t>市</w:t>
      </w:r>
      <w:r>
        <w:rPr>
          <w:rFonts w:hint="default" w:ascii="Times New Roman" w:hAnsi="Times New Roman" w:eastAsia="仿宋_GB2312" w:cs="Times New Roman"/>
          <w:sz w:val="32"/>
          <w:szCs w:val="32"/>
        </w:rPr>
        <w:t>（区）</w:t>
      </w:r>
      <w:r>
        <w:rPr>
          <w:rFonts w:hint="default" w:ascii="Times New Roman" w:hAnsi="Times New Roman" w:eastAsia="仿宋_GB2312" w:cs="Times New Roman"/>
          <w:b w:val="0"/>
          <w:bCs/>
          <w:color w:val="000000"/>
          <w:sz w:val="32"/>
          <w:szCs w:val="32"/>
          <w:highlight w:val="none"/>
          <w:lang w:val="en-US" w:eastAsia="zh-CN"/>
        </w:rPr>
        <w:t>至少有1家“双通道”药店。</w:t>
      </w:r>
    </w:p>
    <w:p>
      <w:pPr>
        <w:spacing w:line="596" w:lineRule="exact"/>
        <w:ind w:firstLine="640"/>
        <w:rPr>
          <w:rFonts w:hint="eastAsia" w:ascii="Times New Roman" w:hAnsi="Times New Roman" w:eastAsia="仿宋_GB2312" w:cs="Times New Roman"/>
          <w:b w:val="0"/>
          <w:bCs/>
          <w:color w:val="000000"/>
          <w:sz w:val="32"/>
          <w:szCs w:val="32"/>
          <w:highlight w:val="none"/>
          <w:lang w:val="en-US" w:eastAsia="zh-CN"/>
        </w:rPr>
      </w:pPr>
    </w:p>
    <w:p>
      <w:pPr>
        <w:rPr>
          <w:rFonts w:hint="default" w:ascii="Times New Roman" w:hAnsi="Times New Roman" w:eastAsia="仿宋_GB2312" w:cs="Times New Roman"/>
          <w:sz w:val="32"/>
          <w:szCs w:val="32"/>
        </w:rPr>
      </w:pPr>
    </w:p>
    <w:p>
      <w:pPr>
        <w:rPr>
          <w:rFonts w:hint="default" w:ascii="Times New Roman" w:hAnsi="Times New Roman" w:eastAsia="仿宋_GB2312" w:cs="Times New Roman"/>
          <w:sz w:val="32"/>
          <w:szCs w:val="32"/>
        </w:rPr>
      </w:pPr>
    </w:p>
    <w:p>
      <w:pPr>
        <w:rPr>
          <w:rFonts w:hint="default" w:ascii="Times New Roman" w:hAnsi="Times New Roman" w:eastAsia="仿宋_GB2312" w:cs="Times New Roman"/>
          <w:sz w:val="32"/>
          <w:szCs w:val="32"/>
        </w:rPr>
      </w:pPr>
    </w:p>
    <w:p>
      <w:pPr>
        <w:rPr>
          <w:rFonts w:hint="default" w:ascii="Times New Roman" w:hAnsi="Times New Roman" w:eastAsia="仿宋_GB2312" w:cs="Times New Roman"/>
          <w:sz w:val="32"/>
          <w:szCs w:val="32"/>
        </w:rPr>
      </w:pPr>
    </w:p>
    <w:p>
      <w:pPr>
        <w:rPr>
          <w:rFonts w:hint="default" w:ascii="Times New Roman" w:hAnsi="Times New Roman" w:eastAsia="仿宋_GB2312" w:cs="Times New Roman"/>
          <w:sz w:val="32"/>
          <w:szCs w:val="32"/>
        </w:rPr>
      </w:pPr>
    </w:p>
    <w:p>
      <w:pPr>
        <w:rPr>
          <w:rFonts w:hint="default" w:ascii="Times New Roman" w:hAnsi="Times New Roman" w:eastAsia="仿宋_GB2312" w:cs="Times New Roman"/>
          <w:sz w:val="32"/>
          <w:szCs w:val="32"/>
        </w:rPr>
      </w:pPr>
    </w:p>
    <w:p>
      <w:pPr>
        <w:rPr>
          <w:rFonts w:hint="default" w:ascii="Times New Roman" w:hAnsi="Times New Roman" w:eastAsia="仿宋_GB2312" w:cs="Times New Roman"/>
          <w:sz w:val="32"/>
          <w:szCs w:val="32"/>
        </w:rPr>
      </w:pPr>
    </w:p>
    <w:p>
      <w:pPr>
        <w:rPr>
          <w:rFonts w:hint="default" w:ascii="Times New Roman" w:hAnsi="Times New Roman" w:eastAsia="仿宋_GB2312" w:cs="Times New Roman"/>
          <w:sz w:val="32"/>
          <w:szCs w:val="32"/>
        </w:rPr>
      </w:pPr>
    </w:p>
    <w:p>
      <w:pPr>
        <w:rPr>
          <w:rFonts w:hint="default" w:ascii="Times New Roman" w:hAnsi="Times New Roman" w:eastAsia="仿宋_GB2312" w:cs="Times New Roman"/>
          <w:sz w:val="32"/>
          <w:szCs w:val="32"/>
        </w:rPr>
      </w:pPr>
    </w:p>
    <w:p>
      <w:pPr>
        <w:rPr>
          <w:rFonts w:hint="default" w:ascii="Times New Roman" w:hAnsi="Times New Roman" w:eastAsia="仿宋_GB2312" w:cs="Times New Roman"/>
          <w:sz w:val="32"/>
          <w:szCs w:val="32"/>
        </w:rPr>
      </w:pPr>
    </w:p>
    <w:p>
      <w:pPr>
        <w:rPr>
          <w:rFonts w:hint="default" w:ascii="Times New Roman" w:hAnsi="Times New Roman" w:eastAsia="仿宋_GB2312" w:cs="Times New Roman"/>
          <w:sz w:val="32"/>
          <w:szCs w:val="32"/>
        </w:rPr>
      </w:pPr>
    </w:p>
    <w:p>
      <w:pPr>
        <w:rPr>
          <w:rFonts w:hint="default" w:ascii="Times New Roman" w:hAnsi="Times New Roman" w:eastAsia="仿宋_GB2312" w:cs="Times New Roman"/>
          <w:sz w:val="32"/>
          <w:szCs w:val="32"/>
        </w:rPr>
      </w:pPr>
    </w:p>
    <w:p>
      <w:pPr>
        <w:rPr>
          <w:rFonts w:hint="default" w:ascii="Times New Roman" w:hAnsi="Times New Roman" w:eastAsia="仿宋_GB2312" w:cs="Times New Roman"/>
          <w:sz w:val="32"/>
          <w:szCs w:val="32"/>
        </w:rPr>
      </w:pPr>
    </w:p>
    <w:p>
      <w:pPr>
        <w:rPr>
          <w:rFonts w:hint="default" w:ascii="Times New Roman" w:hAnsi="Times New Roman" w:eastAsia="仿宋_GB2312" w:cs="Times New Roman"/>
          <w:sz w:val="32"/>
          <w:szCs w:val="32"/>
        </w:rPr>
      </w:pPr>
    </w:p>
    <w:p>
      <w:pPr>
        <w:rPr>
          <w:rFonts w:hint="eastAsia" w:ascii="黑体" w:hAnsi="黑体" w:eastAsia="黑体" w:cs="黑体"/>
          <w:sz w:val="32"/>
          <w:szCs w:val="32"/>
        </w:rPr>
      </w:pPr>
    </w:p>
    <w:sectPr>
      <w:headerReference r:id="rId3" w:type="default"/>
      <w:footerReference r:id="rId4" w:type="default"/>
      <w:pgSz w:w="11906" w:h="16838"/>
      <w:pgMar w:top="2098" w:right="1587" w:bottom="2098" w:left="1587"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
    <w:panose1 w:val="02010609060101010101"/>
    <w:charset w:val="86"/>
    <w:family w:val="auto"/>
    <w:pitch w:val="default"/>
    <w:sig w:usb0="800002BF" w:usb1="38CF7CFA" w:usb2="00000016" w:usb3="00000000" w:csb0="00040001" w:csb1="00000000"/>
  </w:font>
  <w:font w:name="方正仿宋简体">
    <w:panose1 w:val="02010601030101010101"/>
    <w:charset w:val="86"/>
    <w:family w:val="auto"/>
    <w:pitch w:val="default"/>
    <w:sig w:usb0="00000001" w:usb1="080E0000" w:usb2="00000000" w:usb3="00000000" w:csb0="00040000" w:csb1="00000000"/>
  </w:font>
  <w:font w:name="Calibri Light">
    <w:panose1 w:val="020F0302020204030204"/>
    <w:charset w:val="00"/>
    <w:family w:val="auto"/>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DejaVu Math TeX Gyre">
    <w:panose1 w:val="02000503000000000000"/>
    <w:charset w:val="00"/>
    <w:family w:val="auto"/>
    <w:pitch w:val="default"/>
    <w:sig w:usb0="A10000EF" w:usb1="4201F9EE" w:usb2="02000000" w:usb3="00000000" w:csb0="60000193" w:csb1="0DD40000"/>
  </w:font>
  <w:font w:name="Cambria Math">
    <w:panose1 w:val="02040503050406030204"/>
    <w:charset w:val="00"/>
    <w:family w:val="auto"/>
    <w:pitch w:val="default"/>
    <w:sig w:usb0="E00006FF" w:usb1="420024FF" w:usb2="02000000" w:usb3="00000000" w:csb0="2000019F"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ind w:firstLine="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ind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trackRevisions w:val="1"/>
  <w:documentProtection w:enforcement="0"/>
  <w:defaultTabStop w:val="420"/>
  <w:drawingGridVerticalSpacing w:val="159"/>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A1947CF"/>
    <w:rsid w:val="0C692704"/>
    <w:rsid w:val="12165C5A"/>
    <w:rsid w:val="17FF1045"/>
    <w:rsid w:val="19DF8574"/>
    <w:rsid w:val="1BFFC534"/>
    <w:rsid w:val="1EFE4166"/>
    <w:rsid w:val="1FD75BB0"/>
    <w:rsid w:val="3AFF9AE1"/>
    <w:rsid w:val="3BEF5428"/>
    <w:rsid w:val="3BFD1DF2"/>
    <w:rsid w:val="3BFF88FE"/>
    <w:rsid w:val="3CD075C8"/>
    <w:rsid w:val="3F27390C"/>
    <w:rsid w:val="3FAFFF1E"/>
    <w:rsid w:val="3FBB6A02"/>
    <w:rsid w:val="3FF35266"/>
    <w:rsid w:val="42FF2E9E"/>
    <w:rsid w:val="479D4D45"/>
    <w:rsid w:val="4A1947CF"/>
    <w:rsid w:val="52DB28B1"/>
    <w:rsid w:val="57FFDFF4"/>
    <w:rsid w:val="589675FF"/>
    <w:rsid w:val="59AD4DE5"/>
    <w:rsid w:val="59EFE369"/>
    <w:rsid w:val="5B677C81"/>
    <w:rsid w:val="5D9D5017"/>
    <w:rsid w:val="5E3D4493"/>
    <w:rsid w:val="5EBFB064"/>
    <w:rsid w:val="5FFD9C45"/>
    <w:rsid w:val="5FFDB084"/>
    <w:rsid w:val="5FFF3B03"/>
    <w:rsid w:val="61166353"/>
    <w:rsid w:val="67163E67"/>
    <w:rsid w:val="679FE6D1"/>
    <w:rsid w:val="67DF85E1"/>
    <w:rsid w:val="67FB5E1B"/>
    <w:rsid w:val="6AFE7B8E"/>
    <w:rsid w:val="6DFBEEF4"/>
    <w:rsid w:val="6EB33EED"/>
    <w:rsid w:val="6F5872D2"/>
    <w:rsid w:val="6FBF608A"/>
    <w:rsid w:val="6FBF8D70"/>
    <w:rsid w:val="6FFE4B05"/>
    <w:rsid w:val="75BE0DA9"/>
    <w:rsid w:val="767F123F"/>
    <w:rsid w:val="76CFB347"/>
    <w:rsid w:val="76FAAE5A"/>
    <w:rsid w:val="771A322F"/>
    <w:rsid w:val="77F5DAE3"/>
    <w:rsid w:val="77FCF61D"/>
    <w:rsid w:val="78BF38C6"/>
    <w:rsid w:val="7BFBB07D"/>
    <w:rsid w:val="7BFFACC9"/>
    <w:rsid w:val="7C77E1F5"/>
    <w:rsid w:val="7CAE334F"/>
    <w:rsid w:val="7CD538CC"/>
    <w:rsid w:val="7CEE363A"/>
    <w:rsid w:val="7E1A83D9"/>
    <w:rsid w:val="7E991063"/>
    <w:rsid w:val="7E9BD89D"/>
    <w:rsid w:val="7EDA7345"/>
    <w:rsid w:val="7F4E0255"/>
    <w:rsid w:val="7F6FEA19"/>
    <w:rsid w:val="7F9CB82A"/>
    <w:rsid w:val="7FBF92A4"/>
    <w:rsid w:val="7FED58EC"/>
    <w:rsid w:val="7FEFD0F2"/>
    <w:rsid w:val="7FFD0A9F"/>
    <w:rsid w:val="8B9ADC7A"/>
    <w:rsid w:val="8FDF9274"/>
    <w:rsid w:val="A0764624"/>
    <w:rsid w:val="ABF765E6"/>
    <w:rsid w:val="ADFE8B48"/>
    <w:rsid w:val="AEDD1BBF"/>
    <w:rsid w:val="AFF51166"/>
    <w:rsid w:val="AFFACA53"/>
    <w:rsid w:val="B8BF65EE"/>
    <w:rsid w:val="BDD6875A"/>
    <w:rsid w:val="BF79ACBD"/>
    <w:rsid w:val="BF9197FE"/>
    <w:rsid w:val="BFBF0097"/>
    <w:rsid w:val="BFCFE465"/>
    <w:rsid w:val="BFFF75F1"/>
    <w:rsid w:val="CDFE1AE8"/>
    <w:rsid w:val="CF2E44AE"/>
    <w:rsid w:val="CFB2B44E"/>
    <w:rsid w:val="D6E0C1EB"/>
    <w:rsid w:val="D772FE58"/>
    <w:rsid w:val="D7FB9BEC"/>
    <w:rsid w:val="DDDF7D26"/>
    <w:rsid w:val="DDFF421F"/>
    <w:rsid w:val="DE9936C1"/>
    <w:rsid w:val="DFF6026C"/>
    <w:rsid w:val="E6DF785E"/>
    <w:rsid w:val="E77DB35E"/>
    <w:rsid w:val="E7F98E39"/>
    <w:rsid w:val="EBF5AF02"/>
    <w:rsid w:val="EDBC4C02"/>
    <w:rsid w:val="EEED4AEE"/>
    <w:rsid w:val="EF7F8C33"/>
    <w:rsid w:val="EFDD8E1B"/>
    <w:rsid w:val="F3EF8729"/>
    <w:rsid w:val="F5EF2A88"/>
    <w:rsid w:val="F6E8246F"/>
    <w:rsid w:val="F7BFB532"/>
    <w:rsid w:val="F7CFFB0C"/>
    <w:rsid w:val="F7E32A20"/>
    <w:rsid w:val="F7F71746"/>
    <w:rsid w:val="F7F9FCBF"/>
    <w:rsid w:val="F7FCF2D0"/>
    <w:rsid w:val="F8FF44E6"/>
    <w:rsid w:val="F9FFDFB2"/>
    <w:rsid w:val="FA7F113E"/>
    <w:rsid w:val="FB7EFCFA"/>
    <w:rsid w:val="FBBE94A0"/>
    <w:rsid w:val="FBEDA42B"/>
    <w:rsid w:val="FBFB76CF"/>
    <w:rsid w:val="FD0BBF94"/>
    <w:rsid w:val="FDA69326"/>
    <w:rsid w:val="FDDB2DC9"/>
    <w:rsid w:val="FDF73058"/>
    <w:rsid w:val="FDFFCF77"/>
    <w:rsid w:val="FDFFEA4F"/>
    <w:rsid w:val="FE5DC24E"/>
    <w:rsid w:val="FEA7539A"/>
    <w:rsid w:val="FED6B656"/>
    <w:rsid w:val="FF2FB9CF"/>
    <w:rsid w:val="FF3F7409"/>
    <w:rsid w:val="FF57C8CE"/>
    <w:rsid w:val="FF5E149A"/>
    <w:rsid w:val="FF9ADA99"/>
    <w:rsid w:val="FFADA716"/>
    <w:rsid w:val="FFBE2E15"/>
    <w:rsid w:val="FFBF999F"/>
    <w:rsid w:val="FFBFA489"/>
    <w:rsid w:val="FFF3550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outlineLvl w:val="0"/>
    </w:pPr>
    <w:rPr>
      <w:rFonts w:eastAsia="黑体"/>
      <w:bCs/>
      <w:kern w:val="44"/>
      <w:szCs w:val="44"/>
    </w:rPr>
  </w:style>
  <w:style w:type="paragraph" w:styleId="3">
    <w:name w:val="heading 2"/>
    <w:basedOn w:val="1"/>
    <w:next w:val="1"/>
    <w:unhideWhenUsed/>
    <w:qFormat/>
    <w:uiPriority w:val="0"/>
    <w:pPr>
      <w:keepNext w:val="0"/>
      <w:keepLines/>
      <w:outlineLvl w:val="1"/>
    </w:pPr>
    <w:rPr>
      <w:rFonts w:eastAsia="楷体" w:cstheme="majorBidi"/>
      <w:bCs/>
      <w:szCs w:val="32"/>
    </w:rPr>
  </w:style>
  <w:style w:type="paragraph" w:styleId="4">
    <w:name w:val="heading 3"/>
    <w:basedOn w:val="1"/>
    <w:next w:val="1"/>
    <w:unhideWhenUsed/>
    <w:qFormat/>
    <w:uiPriority w:val="0"/>
    <w:pPr>
      <w:keepNext/>
      <w:keepLines/>
      <w:outlineLvl w:val="2"/>
    </w:pPr>
    <w:rPr>
      <w:b/>
      <w:bCs/>
      <w:szCs w:val="32"/>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5">
    <w:name w:val="Body Text"/>
    <w:basedOn w:val="1"/>
    <w:qFormat/>
    <w:uiPriority w:val="0"/>
    <w:pPr>
      <w:spacing w:after="120"/>
    </w:p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8">
    <w:name w:val="Normal (Web)"/>
    <w:basedOn w:val="1"/>
    <w:qFormat/>
    <w:uiPriority w:val="0"/>
    <w:pPr>
      <w:spacing w:before="0" w:beforeAutospacing="1" w:after="0" w:afterAutospacing="1"/>
      <w:ind w:left="0" w:right="0"/>
      <w:jc w:val="left"/>
    </w:pPr>
    <w:rPr>
      <w:kern w:val="0"/>
      <w:sz w:val="24"/>
      <w:lang w:val="en-US" w:eastAsia="zh-CN" w:bidi="ar"/>
    </w:rPr>
  </w:style>
  <w:style w:type="paragraph" w:customStyle="1" w:styleId="11">
    <w:name w:val="Default"/>
    <w:basedOn w:val="12"/>
    <w:next w:val="1"/>
    <w:qFormat/>
    <w:uiPriority w:val="0"/>
    <w:pPr>
      <w:widowControl w:val="0"/>
      <w:autoSpaceDE w:val="0"/>
      <w:autoSpaceDN w:val="0"/>
      <w:adjustRightInd w:val="0"/>
    </w:pPr>
    <w:rPr>
      <w:rFonts w:hint="eastAsia" w:ascii="方正仿宋简体" w:hAnsi="方正仿宋简体" w:eastAsia="方正仿宋简体" w:cs="Times New Roman"/>
      <w:color w:val="000000"/>
      <w:sz w:val="24"/>
      <w:szCs w:val="22"/>
      <w:lang w:val="en-US" w:eastAsia="zh-CN" w:bidi="ar-SA"/>
    </w:rPr>
  </w:style>
  <w:style w:type="paragraph" w:customStyle="1" w:styleId="12">
    <w:name w:val="正文 New"/>
    <w:next w:val="13"/>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3">
    <w:name w:val="标题 2 New"/>
    <w:basedOn w:val="12"/>
    <w:next w:val="12"/>
    <w:qFormat/>
    <w:uiPriority w:val="0"/>
    <w:pPr>
      <w:keepNext/>
      <w:keepLines/>
      <w:spacing w:before="260" w:beforeLines="0" w:after="260" w:afterLines="0" w:line="416" w:lineRule="auto"/>
      <w:outlineLvl w:val="1"/>
    </w:pPr>
    <w:rPr>
      <w:rFonts w:ascii="Calibri Light" w:hAnsi="Calibri Light" w:eastAsia="宋体" w:cs="Times New Roman"/>
      <w:b/>
      <w:bCs/>
      <w:szCs w:val="3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12</Pages>
  <Words>3554</Words>
  <Characters>3582</Characters>
  <Lines>0</Lines>
  <Paragraphs>0</Paragraphs>
  <TotalTime>1</TotalTime>
  <ScaleCrop>false</ScaleCrop>
  <LinksUpToDate>false</LinksUpToDate>
  <CharactersWithSpaces>3624</CharactersWithSpaces>
  <Application>WPS Office_11.8.2.12094_F1E327BC-269C-435d-A152-05C5408002CA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2018-07-22T15:11:00Z</dcterms:created>
  <dc:creator>d</dc:creator>
  <cp:lastModifiedBy>肖</cp:lastModifiedBy>
  <cp:lastPrinted>2026-01-17T07:34:00Z</cp:lastPrinted>
  <dcterms:modified xsi:type="dcterms:W3CDTF">2026-04-14T03:25:32Z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2052-11.8.2.12094</vt:lpwstr>
  </property>
  <property fmtid="{D5CDD505-2E9C-101B-9397-08002B2CF9AE}" pid="3" name="ICV">
    <vt:lpwstr>C881BCB0E9873069A0C3D56954260D81</vt:lpwstr>
  </property>
  <property fmtid="{D5CDD505-2E9C-101B-9397-08002B2CF9AE}" pid="4" name="KSOTemplateDocerSaveRecord">
    <vt:lpwstr>eyJoZGlkIjoiYTU4MDRhMDJmMDk0NjYyM2E4YjMwOThmZjY0MDM5OTYiLCJ1c2VySWQiOiIxNzM2MDQzNzAzIn0=</vt:lpwstr>
  </property>
  <property fmtid="{D5CDD505-2E9C-101B-9397-08002B2CF9AE}" pid="5" name="showFlag">
    <vt:bool>true</vt:bool>
  </property>
</Properties>
</file>